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AC044">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p>
    <w:p w14:paraId="4291B62E">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p>
    <w:p w14:paraId="55B056AF">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bookmarkStart w:id="0" w:name="_Hlk9544796"/>
      <w:r>
        <w:rPr>
          <w:rFonts w:hint="eastAsia" w:ascii="宋体" w:hAnsi="宋体" w:eastAsia="宋体"/>
          <w:b/>
          <w:bCs/>
          <w:sz w:val="52"/>
          <w:szCs w:val="52"/>
          <w:highlight w:val="none"/>
        </w:rPr>
        <w:t>安徽省政府采购项目</w:t>
      </w:r>
    </w:p>
    <w:p w14:paraId="31E7E555">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r>
        <w:rPr>
          <w:rFonts w:hint="eastAsia" w:ascii="宋体" w:hAnsi="宋体" w:eastAsia="宋体"/>
          <w:b/>
          <w:bCs/>
          <w:sz w:val="52"/>
          <w:szCs w:val="52"/>
          <w:highlight w:val="none"/>
        </w:rPr>
        <w:t>公开招标文件示范文本</w:t>
      </w:r>
      <w:bookmarkEnd w:id="0"/>
      <w:r>
        <w:rPr>
          <w:rFonts w:hint="eastAsia" w:ascii="宋体" w:hAnsi="宋体" w:eastAsia="宋体"/>
          <w:b/>
          <w:bCs/>
          <w:sz w:val="52"/>
          <w:szCs w:val="52"/>
          <w:highlight w:val="none"/>
        </w:rPr>
        <w:t>（货物类）</w:t>
      </w:r>
    </w:p>
    <w:p w14:paraId="608E641C">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r>
        <w:rPr>
          <w:rFonts w:hint="eastAsia" w:ascii="宋体" w:hAnsi="宋体" w:eastAsia="宋体"/>
          <w:b/>
          <w:bCs/>
          <w:sz w:val="52"/>
          <w:szCs w:val="52"/>
          <w:highlight w:val="none"/>
        </w:rPr>
        <w:t>（2024年版）</w:t>
      </w:r>
    </w:p>
    <w:p w14:paraId="36E1BEB5">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2FFE4C56">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20174649">
      <w:pPr>
        <w:spacing w:line="312" w:lineRule="auto"/>
        <w:jc w:val="center"/>
        <w:rPr>
          <w:rFonts w:hint="eastAsia" w:ascii="宋体" w:hAnsi="宋体" w:eastAsia="宋体"/>
          <w:b/>
          <w:spacing w:val="20"/>
          <w:kern w:val="0"/>
          <w:sz w:val="32"/>
          <w:szCs w:val="32"/>
          <w:highlight w:val="none"/>
        </w:rPr>
      </w:pPr>
    </w:p>
    <w:p w14:paraId="66C437BB">
      <w:pPr>
        <w:pStyle w:val="5"/>
        <w:rPr>
          <w:rFonts w:hint="eastAsia"/>
          <w:highlight w:val="none"/>
        </w:rPr>
      </w:pPr>
    </w:p>
    <w:p w14:paraId="4E418E9B">
      <w:pPr>
        <w:spacing w:line="312" w:lineRule="auto"/>
        <w:jc w:val="center"/>
        <w:rPr>
          <w:rFonts w:hint="eastAsia" w:ascii="宋体" w:hAnsi="宋体" w:eastAsia="宋体"/>
          <w:b/>
          <w:spacing w:val="20"/>
          <w:kern w:val="0"/>
          <w:sz w:val="32"/>
          <w:szCs w:val="32"/>
          <w:highlight w:val="none"/>
        </w:rPr>
      </w:pPr>
    </w:p>
    <w:p w14:paraId="455103F8">
      <w:pPr>
        <w:spacing w:line="312" w:lineRule="auto"/>
        <w:jc w:val="center"/>
        <w:rPr>
          <w:rFonts w:hint="eastAsia" w:ascii="宋体" w:hAnsi="宋体" w:eastAsia="宋体"/>
          <w:b/>
          <w:spacing w:val="20"/>
          <w:kern w:val="0"/>
          <w:sz w:val="32"/>
          <w:szCs w:val="32"/>
          <w:highlight w:val="none"/>
        </w:rPr>
      </w:pPr>
    </w:p>
    <w:p w14:paraId="06462C1E">
      <w:pPr>
        <w:spacing w:line="312" w:lineRule="auto"/>
        <w:jc w:val="center"/>
        <w:rPr>
          <w:rFonts w:hint="eastAsia" w:ascii="宋体" w:hAnsi="宋体" w:eastAsia="宋体"/>
          <w:b/>
          <w:spacing w:val="20"/>
          <w:kern w:val="0"/>
          <w:sz w:val="32"/>
          <w:szCs w:val="32"/>
          <w:highlight w:val="none"/>
          <w:lang w:eastAsia="zh-CN"/>
        </w:rPr>
      </w:pPr>
      <w:r>
        <w:rPr>
          <w:rFonts w:hint="eastAsia" w:ascii="宋体" w:hAnsi="宋体" w:eastAsia="宋体"/>
          <w:b/>
          <w:spacing w:val="20"/>
          <w:kern w:val="0"/>
          <w:sz w:val="32"/>
          <w:szCs w:val="32"/>
          <w:highlight w:val="none"/>
        </w:rPr>
        <w:t>项目名称：</w:t>
      </w:r>
      <w:r>
        <w:rPr>
          <w:rFonts w:hint="eastAsia" w:ascii="宋体" w:hAnsi="宋体" w:eastAsia="宋体"/>
          <w:b/>
          <w:spacing w:val="20"/>
          <w:kern w:val="0"/>
          <w:sz w:val="32"/>
          <w:szCs w:val="32"/>
          <w:highlight w:val="none"/>
          <w:u w:val="single"/>
          <w:lang w:eastAsia="zh-CN"/>
        </w:rPr>
        <w:t>2025年滁州市母婴阻断项目试剂（非药字号）采购项目</w:t>
      </w:r>
    </w:p>
    <w:p w14:paraId="4E49A151">
      <w:pPr>
        <w:spacing w:before="156" w:beforeLines="50" w:after="156" w:afterLines="50" w:line="700" w:lineRule="exact"/>
        <w:jc w:val="left"/>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采   购   人：</w:t>
      </w:r>
      <w:r>
        <w:rPr>
          <w:rFonts w:hint="eastAsia" w:ascii="宋体" w:hAnsi="宋体" w:eastAsia="宋体" w:cs="宋体"/>
          <w:b/>
          <w:sz w:val="32"/>
          <w:szCs w:val="32"/>
          <w:highlight w:val="none"/>
          <w:u w:val="single"/>
          <w:lang w:eastAsia="zh-CN"/>
        </w:rPr>
        <w:t>滁州市妇幼保健计划生育服务中心</w:t>
      </w:r>
    </w:p>
    <w:p w14:paraId="1CBB433C">
      <w:pPr>
        <w:spacing w:before="156" w:beforeLines="50" w:after="156" w:afterLines="50" w:line="700" w:lineRule="exact"/>
        <w:rPr>
          <w:rFonts w:hint="eastAsia" w:ascii="宋体" w:hAnsi="宋体" w:eastAsia="宋体" w:cs="宋体"/>
          <w:b/>
          <w:sz w:val="32"/>
          <w:szCs w:val="32"/>
          <w:highlight w:val="none"/>
          <w:u w:val="single"/>
          <w:lang w:eastAsia="zh-CN"/>
        </w:rPr>
      </w:pPr>
      <w:r>
        <w:rPr>
          <w:rFonts w:hint="eastAsia" w:ascii="宋体" w:hAnsi="宋体" w:eastAsia="宋体" w:cs="宋体"/>
          <w:b/>
          <w:sz w:val="32"/>
          <w:szCs w:val="32"/>
          <w:highlight w:val="none"/>
        </w:rPr>
        <w:t>采购代理机构：</w:t>
      </w:r>
      <w:r>
        <w:rPr>
          <w:rFonts w:hint="eastAsia" w:ascii="宋体" w:hAnsi="宋体" w:eastAsia="宋体" w:cs="宋体"/>
          <w:b/>
          <w:sz w:val="32"/>
          <w:szCs w:val="32"/>
          <w:highlight w:val="none"/>
          <w:u w:val="single"/>
          <w:lang w:eastAsia="zh-CN"/>
        </w:rPr>
        <w:t>安徽立信项目管理有限公司</w:t>
      </w:r>
    </w:p>
    <w:p w14:paraId="09E7FCFF">
      <w:pPr>
        <w:spacing w:line="68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u w:val="single"/>
        </w:rPr>
        <w:t>202</w:t>
      </w:r>
      <w:r>
        <w:rPr>
          <w:rFonts w:hint="eastAsia" w:ascii="宋体" w:hAnsi="宋体" w:eastAsia="宋体" w:cs="宋体"/>
          <w:b/>
          <w:sz w:val="32"/>
          <w:szCs w:val="32"/>
          <w:highlight w:val="none"/>
          <w:u w:val="single"/>
          <w:lang w:val="en-US" w:eastAsia="zh-CN"/>
        </w:rPr>
        <w:t>5</w:t>
      </w:r>
      <w:r>
        <w:rPr>
          <w:rFonts w:hint="eastAsia" w:ascii="宋体" w:hAnsi="宋体" w:eastAsia="宋体" w:cs="宋体"/>
          <w:b/>
          <w:sz w:val="32"/>
          <w:szCs w:val="32"/>
          <w:highlight w:val="none"/>
        </w:rPr>
        <w:t>年</w:t>
      </w:r>
      <w:r>
        <w:rPr>
          <w:rFonts w:hint="eastAsia" w:ascii="宋体" w:hAnsi="宋体" w:eastAsia="宋体" w:cs="宋体"/>
          <w:b/>
          <w:sz w:val="32"/>
          <w:szCs w:val="32"/>
          <w:highlight w:val="none"/>
          <w:u w:val="single"/>
        </w:rPr>
        <w:t xml:space="preserve"> </w:t>
      </w:r>
      <w:r>
        <w:rPr>
          <w:rFonts w:hint="eastAsia" w:ascii="宋体" w:hAnsi="宋体" w:eastAsia="宋体" w:cs="宋体"/>
          <w:b/>
          <w:sz w:val="32"/>
          <w:szCs w:val="32"/>
          <w:highlight w:val="none"/>
          <w:u w:val="single"/>
          <w:lang w:val="en-US" w:eastAsia="zh-CN"/>
        </w:rPr>
        <w:t>3</w:t>
      </w:r>
      <w:r>
        <w:rPr>
          <w:rFonts w:hint="eastAsia" w:ascii="宋体" w:hAnsi="宋体" w:eastAsia="宋体" w:cs="宋体"/>
          <w:b/>
          <w:sz w:val="32"/>
          <w:szCs w:val="32"/>
          <w:highlight w:val="none"/>
        </w:rPr>
        <w:t>月</w:t>
      </w:r>
    </w:p>
    <w:p w14:paraId="600AA273">
      <w:pPr>
        <w:tabs>
          <w:tab w:val="left" w:pos="2410"/>
        </w:tabs>
        <w:autoSpaceDE w:val="0"/>
        <w:autoSpaceDN w:val="0"/>
        <w:adjustRightInd w:val="0"/>
        <w:snapToGrid w:val="0"/>
        <w:spacing w:line="360" w:lineRule="auto"/>
        <w:jc w:val="center"/>
        <w:rPr>
          <w:rFonts w:hint="eastAsia" w:ascii="宋体" w:hAnsi="宋体" w:eastAsia="宋体"/>
          <w:b/>
          <w:sz w:val="36"/>
          <w:highlight w:val="none"/>
        </w:rPr>
      </w:pPr>
    </w:p>
    <w:p w14:paraId="1E031CF6">
      <w:pPr>
        <w:tabs>
          <w:tab w:val="left" w:pos="2410"/>
        </w:tabs>
        <w:autoSpaceDE w:val="0"/>
        <w:autoSpaceDN w:val="0"/>
        <w:adjustRightInd w:val="0"/>
        <w:snapToGrid w:val="0"/>
        <w:spacing w:line="360" w:lineRule="auto"/>
        <w:jc w:val="center"/>
        <w:rPr>
          <w:rFonts w:hint="eastAsia" w:ascii="宋体" w:hAnsi="宋体" w:eastAsia="宋体"/>
          <w:b/>
          <w:sz w:val="28"/>
          <w:highlight w:val="none"/>
        </w:rPr>
      </w:pPr>
    </w:p>
    <w:p w14:paraId="35C3A30E">
      <w:pPr>
        <w:tabs>
          <w:tab w:val="left" w:pos="2410"/>
        </w:tabs>
        <w:autoSpaceDE w:val="0"/>
        <w:autoSpaceDN w:val="0"/>
        <w:adjustRightInd w:val="0"/>
        <w:snapToGrid w:val="0"/>
        <w:spacing w:line="360" w:lineRule="auto"/>
        <w:jc w:val="center"/>
        <w:rPr>
          <w:rFonts w:hint="eastAsia" w:ascii="宋体" w:hAnsi="宋体" w:eastAsia="宋体"/>
          <w:b/>
          <w:sz w:val="28"/>
          <w:highlight w:val="none"/>
        </w:rPr>
      </w:pPr>
    </w:p>
    <w:p w14:paraId="7882EA83">
      <w:pPr>
        <w:tabs>
          <w:tab w:val="left" w:pos="2410"/>
        </w:tabs>
        <w:autoSpaceDE w:val="0"/>
        <w:autoSpaceDN w:val="0"/>
        <w:adjustRightInd w:val="0"/>
        <w:snapToGrid w:val="0"/>
        <w:spacing w:line="360" w:lineRule="auto"/>
        <w:jc w:val="center"/>
        <w:rPr>
          <w:rFonts w:hint="eastAsia" w:ascii="宋体" w:hAnsi="宋体" w:eastAsia="宋体"/>
          <w:b/>
          <w:sz w:val="28"/>
          <w:highlight w:val="none"/>
        </w:rPr>
      </w:pPr>
      <w:r>
        <w:rPr>
          <w:rFonts w:hint="eastAsia" w:ascii="宋体" w:hAnsi="宋体" w:eastAsia="宋体"/>
          <w:b/>
          <w:sz w:val="28"/>
          <w:highlight w:val="none"/>
        </w:rPr>
        <w:t>目  录</w:t>
      </w:r>
    </w:p>
    <w:p w14:paraId="730CCACB">
      <w:pPr>
        <w:pStyle w:val="18"/>
        <w:tabs>
          <w:tab w:val="right" w:leader="dot" w:pos="9072"/>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TOC \o "1-2" \h \z \u </w:instrText>
      </w:r>
      <w:r>
        <w:rPr>
          <w:rFonts w:hint="eastAsia" w:ascii="宋体" w:hAnsi="宋体" w:eastAsia="宋体" w:cs="宋体"/>
          <w:highlight w:val="none"/>
        </w:rPr>
        <w:fldChar w:fldCharType="separate"/>
      </w:r>
      <w:r>
        <w:rPr>
          <w:highlight w:val="none"/>
        </w:rPr>
        <w:fldChar w:fldCharType="begin"/>
      </w:r>
      <w:r>
        <w:rPr>
          <w:highlight w:val="none"/>
        </w:rPr>
        <w:instrText xml:space="preserve"> HYPERLINK \l "_Toc10830" </w:instrText>
      </w:r>
      <w:r>
        <w:rPr>
          <w:highlight w:val="none"/>
        </w:rPr>
        <w:fldChar w:fldCharType="separate"/>
      </w:r>
      <w:r>
        <w:rPr>
          <w:rFonts w:hint="eastAsia" w:ascii="宋体" w:hAnsi="宋体" w:eastAsia="宋体" w:cs="宋体"/>
          <w:highlight w:val="none"/>
        </w:rPr>
        <w:t>第一章  投标邀请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_Toc10830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50ED6592">
      <w:pPr>
        <w:pStyle w:val="18"/>
        <w:tabs>
          <w:tab w:val="right" w:leader="dot" w:pos="9072"/>
        </w:tabs>
        <w:rPr>
          <w:rFonts w:hint="eastAsia" w:ascii="宋体" w:hAnsi="宋体" w:eastAsia="宋体" w:cs="宋体"/>
          <w:highlight w:val="none"/>
        </w:rPr>
      </w:pPr>
      <w:r>
        <w:rPr>
          <w:highlight w:val="none"/>
        </w:rPr>
        <w:fldChar w:fldCharType="begin"/>
      </w:r>
      <w:r>
        <w:rPr>
          <w:highlight w:val="none"/>
        </w:rPr>
        <w:instrText xml:space="preserve"> HYPERLINK \l "_Toc21555" </w:instrText>
      </w:r>
      <w:r>
        <w:rPr>
          <w:highlight w:val="none"/>
        </w:rPr>
        <w:fldChar w:fldCharType="separate"/>
      </w:r>
      <w:r>
        <w:rPr>
          <w:rFonts w:hint="eastAsia" w:ascii="宋体" w:hAnsi="宋体" w:eastAsia="宋体" w:cs="宋体"/>
          <w:highlight w:val="none"/>
        </w:rPr>
        <w:t>第二章  投标人须知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_Toc21555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5AEFEA31">
      <w:pPr>
        <w:pStyle w:val="18"/>
        <w:tabs>
          <w:tab w:val="right" w:leader="dot" w:pos="9072"/>
        </w:tabs>
        <w:rPr>
          <w:rFonts w:hint="eastAsia" w:ascii="宋体" w:hAnsi="宋体" w:eastAsia="宋体" w:cs="宋体"/>
          <w:highlight w:val="none"/>
        </w:rPr>
      </w:pPr>
      <w:r>
        <w:rPr>
          <w:highlight w:val="none"/>
        </w:rPr>
        <w:fldChar w:fldCharType="begin"/>
      </w:r>
      <w:r>
        <w:rPr>
          <w:highlight w:val="none"/>
        </w:rPr>
        <w:instrText xml:space="preserve"> HYPERLINK \l "_Toc17699" </w:instrText>
      </w:r>
      <w:r>
        <w:rPr>
          <w:highlight w:val="none"/>
        </w:rPr>
        <w:fldChar w:fldCharType="separate"/>
      </w:r>
      <w:r>
        <w:rPr>
          <w:rFonts w:hint="eastAsia" w:ascii="宋体" w:hAnsi="宋体" w:eastAsia="宋体" w:cs="宋体"/>
          <w:highlight w:val="none"/>
        </w:rPr>
        <w:t>第三章  采购需求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_Toc17699 \h </w:instrText>
      </w:r>
      <w:r>
        <w:rPr>
          <w:rFonts w:hint="eastAsia" w:ascii="宋体" w:hAnsi="宋体" w:eastAsia="宋体" w:cs="宋体"/>
          <w:highlight w:val="none"/>
        </w:rPr>
        <w:fldChar w:fldCharType="separate"/>
      </w:r>
      <w:r>
        <w:rPr>
          <w:rFonts w:hint="eastAsia" w:ascii="宋体" w:hAnsi="宋体" w:eastAsia="宋体" w:cs="宋体"/>
          <w:highlight w:val="none"/>
        </w:rPr>
        <w:t>24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910DCF5">
      <w:pPr>
        <w:pStyle w:val="18"/>
        <w:tabs>
          <w:tab w:val="right" w:leader="dot" w:pos="9072"/>
        </w:tabs>
        <w:rPr>
          <w:rFonts w:hint="eastAsia" w:ascii="宋体" w:hAnsi="宋体" w:eastAsia="宋体" w:cs="宋体"/>
          <w:highlight w:val="none"/>
        </w:rPr>
      </w:pPr>
      <w:r>
        <w:rPr>
          <w:highlight w:val="none"/>
        </w:rPr>
        <w:fldChar w:fldCharType="begin"/>
      </w:r>
      <w:r>
        <w:rPr>
          <w:highlight w:val="none"/>
        </w:rPr>
        <w:instrText xml:space="preserve"> HYPERLINK \l "_Toc18923" </w:instrText>
      </w:r>
      <w:r>
        <w:rPr>
          <w:highlight w:val="none"/>
        </w:rPr>
        <w:fldChar w:fldCharType="separate"/>
      </w:r>
      <w:r>
        <w:rPr>
          <w:rFonts w:hint="eastAsia" w:ascii="宋体" w:hAnsi="宋体" w:eastAsia="宋体" w:cs="宋体"/>
          <w:highlight w:val="none"/>
        </w:rPr>
        <w:t>第四章  评标方法和标准（综合评分法）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_Toc18923 \h </w:instrText>
      </w:r>
      <w:r>
        <w:rPr>
          <w:rFonts w:hint="eastAsia" w:ascii="宋体" w:hAnsi="宋体" w:eastAsia="宋体" w:cs="宋体"/>
          <w:highlight w:val="none"/>
        </w:rPr>
        <w:fldChar w:fldCharType="separate"/>
      </w:r>
      <w:r>
        <w:rPr>
          <w:rFonts w:hint="eastAsia" w:ascii="宋体" w:hAnsi="宋体" w:eastAsia="宋体" w:cs="宋体"/>
          <w:highlight w:val="none"/>
        </w:rPr>
        <w:t>46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286D1D2E">
      <w:pPr>
        <w:pStyle w:val="18"/>
        <w:tabs>
          <w:tab w:val="right" w:leader="dot" w:pos="9072"/>
        </w:tabs>
        <w:rPr>
          <w:rFonts w:hint="eastAsia" w:ascii="宋体" w:hAnsi="宋体" w:eastAsia="宋体" w:cs="宋体"/>
          <w:highlight w:val="none"/>
        </w:rPr>
      </w:pPr>
      <w:r>
        <w:rPr>
          <w:highlight w:val="none"/>
        </w:rPr>
        <w:fldChar w:fldCharType="begin"/>
      </w:r>
      <w:r>
        <w:rPr>
          <w:highlight w:val="none"/>
        </w:rPr>
        <w:instrText xml:space="preserve"> HYPERLINK \l "_Toc9783" </w:instrText>
      </w:r>
      <w:r>
        <w:rPr>
          <w:highlight w:val="none"/>
        </w:rPr>
        <w:fldChar w:fldCharType="separate"/>
      </w:r>
      <w:r>
        <w:rPr>
          <w:rFonts w:hint="eastAsia" w:ascii="宋体" w:hAnsi="宋体" w:eastAsia="宋体" w:cs="宋体"/>
          <w:highlight w:val="none"/>
        </w:rPr>
        <w:t>第五章  政府采购合同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_Toc9783 \h </w:instrText>
      </w:r>
      <w:r>
        <w:rPr>
          <w:rFonts w:hint="eastAsia" w:ascii="宋体" w:hAnsi="宋体" w:eastAsia="宋体" w:cs="宋体"/>
          <w:highlight w:val="none"/>
        </w:rPr>
        <w:fldChar w:fldCharType="separate"/>
      </w:r>
      <w:r>
        <w:rPr>
          <w:rFonts w:hint="eastAsia" w:ascii="宋体" w:hAnsi="宋体" w:eastAsia="宋体" w:cs="宋体"/>
          <w:highlight w:val="none"/>
        </w:rPr>
        <w:t>54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957CA48">
      <w:pPr>
        <w:pStyle w:val="18"/>
        <w:tabs>
          <w:tab w:val="right" w:leader="dot" w:pos="9072"/>
        </w:tabs>
        <w:rPr>
          <w:rFonts w:hint="eastAsia" w:ascii="宋体" w:hAnsi="宋体" w:eastAsia="宋体" w:cs="宋体"/>
          <w:highlight w:val="none"/>
        </w:rPr>
      </w:pPr>
      <w:r>
        <w:rPr>
          <w:highlight w:val="none"/>
        </w:rPr>
        <w:fldChar w:fldCharType="begin"/>
      </w:r>
      <w:r>
        <w:rPr>
          <w:highlight w:val="none"/>
        </w:rPr>
        <w:instrText xml:space="preserve"> HYPERLINK \l "_Toc25428" </w:instrText>
      </w:r>
      <w:r>
        <w:rPr>
          <w:highlight w:val="none"/>
        </w:rPr>
        <w:fldChar w:fldCharType="separate"/>
      </w:r>
      <w:r>
        <w:rPr>
          <w:rFonts w:hint="eastAsia" w:ascii="宋体" w:hAnsi="宋体" w:eastAsia="宋体" w:cs="宋体"/>
          <w:highlight w:val="none"/>
        </w:rPr>
        <w:t>第六章  投标文件格式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_Toc25428 \h </w:instrText>
      </w:r>
      <w:r>
        <w:rPr>
          <w:rFonts w:hint="eastAsia" w:ascii="宋体" w:hAnsi="宋体" w:eastAsia="宋体" w:cs="宋体"/>
          <w:highlight w:val="none"/>
        </w:rPr>
        <w:fldChar w:fldCharType="separate"/>
      </w:r>
      <w:r>
        <w:rPr>
          <w:rFonts w:hint="eastAsia" w:ascii="宋体" w:hAnsi="宋体" w:eastAsia="宋体" w:cs="宋体"/>
          <w:highlight w:val="none"/>
        </w:rPr>
        <w:t>71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EF3BD1F">
      <w:pPr>
        <w:pStyle w:val="18"/>
        <w:tabs>
          <w:tab w:val="right" w:leader="dot" w:pos="9072"/>
        </w:tabs>
        <w:rPr>
          <w:rFonts w:hint="eastAsia" w:ascii="宋体" w:hAnsi="宋体" w:eastAsia="宋体" w:cs="宋体"/>
          <w:highlight w:val="none"/>
        </w:rPr>
      </w:pPr>
      <w:r>
        <w:rPr>
          <w:highlight w:val="none"/>
        </w:rPr>
        <w:fldChar w:fldCharType="begin"/>
      </w:r>
      <w:r>
        <w:rPr>
          <w:highlight w:val="none"/>
        </w:rPr>
        <w:instrText xml:space="preserve"> HYPERLINK \l "_Toc23205" </w:instrText>
      </w:r>
      <w:r>
        <w:rPr>
          <w:highlight w:val="none"/>
        </w:rPr>
        <w:fldChar w:fldCharType="separate"/>
      </w:r>
      <w:r>
        <w:rPr>
          <w:rFonts w:hint="eastAsia" w:ascii="宋体" w:hAnsi="宋体" w:eastAsia="宋体" w:cs="宋体"/>
          <w:highlight w:val="none"/>
        </w:rPr>
        <w:t>第七章</w:t>
      </w:r>
      <w:r>
        <w:rPr>
          <w:rFonts w:hint="eastAsia" w:ascii="宋体" w:hAnsi="宋体" w:eastAsia="宋体" w:cs="宋体"/>
          <w:bCs/>
          <w:highlight w:val="none"/>
        </w:rPr>
        <w:t xml:space="preserve">  政府采购</w:t>
      </w:r>
      <w:r>
        <w:rPr>
          <w:rFonts w:hint="eastAsia" w:ascii="宋体" w:hAnsi="宋体" w:eastAsia="宋体" w:cs="宋体"/>
          <w:highlight w:val="none"/>
        </w:rPr>
        <w:t>供应</w:t>
      </w:r>
      <w:r>
        <w:rPr>
          <w:rFonts w:hint="eastAsia" w:ascii="宋体" w:hAnsi="宋体" w:eastAsia="宋体" w:cs="宋体"/>
          <w:bCs/>
          <w:highlight w:val="none"/>
        </w:rPr>
        <w:t>商询问函和质疑函范本</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_Toc23205 \h </w:instrText>
      </w:r>
      <w:r>
        <w:rPr>
          <w:rFonts w:hint="eastAsia" w:ascii="宋体" w:hAnsi="宋体" w:eastAsia="宋体" w:cs="宋体"/>
          <w:highlight w:val="none"/>
        </w:rPr>
        <w:fldChar w:fldCharType="separate"/>
      </w:r>
      <w:r>
        <w:rPr>
          <w:rFonts w:hint="eastAsia" w:ascii="宋体" w:hAnsi="宋体" w:eastAsia="宋体" w:cs="宋体"/>
          <w:highlight w:val="none"/>
        </w:rPr>
        <w:t>83</w:t>
      </w:r>
      <w:r>
        <w:rPr>
          <w:rFonts w:hint="eastAsia" w:ascii="宋体" w:hAnsi="宋体" w:eastAsia="宋体" w:cs="宋体"/>
          <w:highlight w:val="none"/>
        </w:rPr>
        <w:fldChar w:fldCharType="end"/>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45DB2097">
      <w:pPr>
        <w:spacing w:line="360" w:lineRule="auto"/>
        <w:jc w:val="center"/>
        <w:rPr>
          <w:rFonts w:hint="eastAsia" w:asciiTheme="minorEastAsia" w:hAnsiTheme="minorEastAsia" w:eastAsiaTheme="minorEastAsia"/>
          <w:szCs w:val="24"/>
          <w:highlight w:val="none"/>
        </w:rPr>
      </w:pPr>
    </w:p>
    <w:p w14:paraId="5B3CE900">
      <w:pPr>
        <w:spacing w:line="360" w:lineRule="auto"/>
        <w:jc w:val="center"/>
        <w:rPr>
          <w:rFonts w:hint="eastAsia" w:asciiTheme="minorEastAsia" w:hAnsiTheme="minorEastAsia" w:eastAsiaTheme="minorEastAsia"/>
          <w:szCs w:val="24"/>
          <w:highlight w:val="none"/>
        </w:rPr>
      </w:pPr>
    </w:p>
    <w:p w14:paraId="6C0B78DA">
      <w:pPr>
        <w:spacing w:line="360" w:lineRule="auto"/>
        <w:jc w:val="center"/>
        <w:rPr>
          <w:rFonts w:hint="eastAsia" w:asciiTheme="minorEastAsia" w:hAnsiTheme="minorEastAsia" w:eastAsiaTheme="minorEastAsia"/>
          <w:szCs w:val="24"/>
          <w:highlight w:val="none"/>
        </w:rPr>
      </w:pPr>
    </w:p>
    <w:p w14:paraId="1B9E249A">
      <w:pPr>
        <w:spacing w:line="360" w:lineRule="auto"/>
        <w:jc w:val="center"/>
        <w:rPr>
          <w:rFonts w:hint="eastAsia" w:asciiTheme="minorEastAsia" w:hAnsiTheme="minorEastAsia" w:eastAsiaTheme="minorEastAsia"/>
          <w:szCs w:val="24"/>
          <w:highlight w:val="none"/>
        </w:rPr>
      </w:pPr>
    </w:p>
    <w:p w14:paraId="7D51231A">
      <w:pPr>
        <w:spacing w:line="360" w:lineRule="auto"/>
        <w:jc w:val="center"/>
        <w:rPr>
          <w:rFonts w:hint="eastAsia" w:asciiTheme="minorEastAsia" w:hAnsiTheme="minorEastAsia" w:eastAsiaTheme="minorEastAsia"/>
          <w:szCs w:val="24"/>
          <w:highlight w:val="none"/>
        </w:rPr>
      </w:pPr>
    </w:p>
    <w:p w14:paraId="10BB1F55">
      <w:pPr>
        <w:spacing w:line="360" w:lineRule="auto"/>
        <w:jc w:val="center"/>
        <w:rPr>
          <w:rFonts w:hint="eastAsia" w:asciiTheme="minorEastAsia" w:hAnsiTheme="minorEastAsia" w:eastAsiaTheme="minorEastAsia"/>
          <w:szCs w:val="24"/>
          <w:highlight w:val="none"/>
        </w:rPr>
      </w:pPr>
    </w:p>
    <w:p w14:paraId="603917C4">
      <w:pPr>
        <w:spacing w:line="360" w:lineRule="auto"/>
        <w:jc w:val="center"/>
        <w:rPr>
          <w:rFonts w:hint="eastAsia" w:asciiTheme="minorEastAsia" w:hAnsiTheme="minorEastAsia" w:eastAsiaTheme="minorEastAsia"/>
          <w:szCs w:val="24"/>
          <w:highlight w:val="none"/>
        </w:rPr>
      </w:pPr>
    </w:p>
    <w:p w14:paraId="12DFD55E">
      <w:pPr>
        <w:spacing w:line="360" w:lineRule="auto"/>
        <w:jc w:val="center"/>
        <w:rPr>
          <w:rFonts w:hint="eastAsia" w:asciiTheme="minorEastAsia" w:hAnsiTheme="minorEastAsia" w:eastAsiaTheme="minorEastAsia"/>
          <w:szCs w:val="24"/>
          <w:highlight w:val="none"/>
        </w:rPr>
      </w:pPr>
    </w:p>
    <w:p w14:paraId="3CD4D55B">
      <w:pPr>
        <w:spacing w:line="360" w:lineRule="auto"/>
        <w:jc w:val="center"/>
        <w:rPr>
          <w:rFonts w:hint="eastAsia" w:asciiTheme="minorEastAsia" w:hAnsiTheme="minorEastAsia" w:eastAsiaTheme="minorEastAsia"/>
          <w:szCs w:val="24"/>
          <w:highlight w:val="none"/>
        </w:rPr>
      </w:pPr>
    </w:p>
    <w:p w14:paraId="16711E9B">
      <w:pPr>
        <w:spacing w:line="360" w:lineRule="auto"/>
        <w:jc w:val="center"/>
        <w:rPr>
          <w:rFonts w:hint="eastAsia" w:asciiTheme="minorEastAsia" w:hAnsiTheme="minorEastAsia" w:eastAsiaTheme="minorEastAsia"/>
          <w:szCs w:val="24"/>
          <w:highlight w:val="none"/>
        </w:rPr>
      </w:pPr>
    </w:p>
    <w:p w14:paraId="6583FD5A">
      <w:pPr>
        <w:spacing w:line="360" w:lineRule="auto"/>
        <w:jc w:val="center"/>
        <w:rPr>
          <w:rFonts w:hint="eastAsia" w:asciiTheme="minorEastAsia" w:hAnsiTheme="minorEastAsia" w:eastAsiaTheme="minorEastAsia"/>
          <w:szCs w:val="24"/>
          <w:highlight w:val="none"/>
        </w:rPr>
      </w:pPr>
    </w:p>
    <w:p w14:paraId="69445495">
      <w:pPr>
        <w:spacing w:line="360" w:lineRule="auto"/>
        <w:jc w:val="center"/>
        <w:rPr>
          <w:rFonts w:hint="eastAsia" w:asciiTheme="minorEastAsia" w:hAnsiTheme="minorEastAsia" w:eastAsiaTheme="minorEastAsia"/>
          <w:szCs w:val="24"/>
          <w:highlight w:val="none"/>
        </w:rPr>
      </w:pPr>
    </w:p>
    <w:p w14:paraId="2C9AAAC4">
      <w:pPr>
        <w:spacing w:line="360" w:lineRule="auto"/>
        <w:jc w:val="center"/>
        <w:rPr>
          <w:rFonts w:hint="eastAsia" w:asciiTheme="minorEastAsia" w:hAnsiTheme="minorEastAsia" w:eastAsiaTheme="minorEastAsia"/>
          <w:szCs w:val="24"/>
          <w:highlight w:val="none"/>
        </w:rPr>
      </w:pPr>
    </w:p>
    <w:p w14:paraId="0DBCD442">
      <w:pPr>
        <w:spacing w:line="360" w:lineRule="auto"/>
        <w:jc w:val="center"/>
        <w:rPr>
          <w:rFonts w:hint="eastAsia" w:asciiTheme="minorEastAsia" w:hAnsiTheme="minorEastAsia" w:eastAsiaTheme="minorEastAsia"/>
          <w:szCs w:val="24"/>
          <w:highlight w:val="none"/>
        </w:rPr>
      </w:pPr>
    </w:p>
    <w:p w14:paraId="1673778E">
      <w:pPr>
        <w:spacing w:line="360" w:lineRule="auto"/>
        <w:jc w:val="center"/>
        <w:rPr>
          <w:rFonts w:hint="eastAsia" w:asciiTheme="minorEastAsia" w:hAnsiTheme="minorEastAsia" w:eastAsiaTheme="minorEastAsia"/>
          <w:szCs w:val="24"/>
          <w:highlight w:val="none"/>
        </w:rPr>
      </w:pPr>
    </w:p>
    <w:p w14:paraId="2CE54A48">
      <w:pPr>
        <w:spacing w:line="360" w:lineRule="auto"/>
        <w:jc w:val="center"/>
        <w:rPr>
          <w:rFonts w:hint="eastAsia" w:asciiTheme="minorEastAsia" w:hAnsiTheme="minorEastAsia" w:eastAsiaTheme="minorEastAsia"/>
          <w:szCs w:val="24"/>
          <w:highlight w:val="none"/>
        </w:rPr>
      </w:pPr>
    </w:p>
    <w:p w14:paraId="2399D98A">
      <w:pPr>
        <w:spacing w:line="360" w:lineRule="auto"/>
        <w:jc w:val="center"/>
        <w:rPr>
          <w:rFonts w:hint="eastAsia" w:asciiTheme="minorEastAsia" w:hAnsiTheme="minorEastAsia" w:eastAsiaTheme="minorEastAsia"/>
          <w:szCs w:val="24"/>
          <w:highlight w:val="none"/>
        </w:rPr>
      </w:pPr>
    </w:p>
    <w:p w14:paraId="0EC8D494">
      <w:pPr>
        <w:spacing w:line="360" w:lineRule="auto"/>
        <w:jc w:val="center"/>
        <w:rPr>
          <w:rFonts w:hint="eastAsia" w:asciiTheme="minorEastAsia" w:hAnsiTheme="minorEastAsia" w:eastAsiaTheme="minorEastAsia"/>
          <w:szCs w:val="24"/>
          <w:highlight w:val="none"/>
        </w:rPr>
      </w:pPr>
    </w:p>
    <w:p w14:paraId="11D4321D">
      <w:pPr>
        <w:spacing w:line="360" w:lineRule="auto"/>
        <w:jc w:val="center"/>
        <w:rPr>
          <w:rFonts w:hint="eastAsia" w:asciiTheme="minorEastAsia" w:hAnsiTheme="minorEastAsia" w:eastAsiaTheme="minorEastAsia"/>
          <w:szCs w:val="24"/>
          <w:highlight w:val="none"/>
        </w:rPr>
      </w:pPr>
    </w:p>
    <w:p w14:paraId="0B377EF8">
      <w:pPr>
        <w:spacing w:line="360" w:lineRule="auto"/>
        <w:jc w:val="center"/>
        <w:rPr>
          <w:rFonts w:hint="eastAsia" w:asciiTheme="minorEastAsia" w:hAnsiTheme="minorEastAsia" w:eastAsiaTheme="minorEastAsia"/>
          <w:szCs w:val="24"/>
          <w:highlight w:val="none"/>
        </w:rPr>
      </w:pPr>
    </w:p>
    <w:p w14:paraId="1D0C49A3">
      <w:pPr>
        <w:pageBreakBefore/>
        <w:spacing w:line="360" w:lineRule="auto"/>
        <w:jc w:val="center"/>
        <w:outlineLvl w:val="0"/>
        <w:rPr>
          <w:rFonts w:hint="eastAsia" w:asciiTheme="minorEastAsia" w:hAnsiTheme="minorEastAsia" w:eastAsiaTheme="minorEastAsia"/>
          <w:b/>
          <w:sz w:val="28"/>
          <w:highlight w:val="none"/>
        </w:rPr>
      </w:pPr>
      <w:bookmarkStart w:id="1" w:name="_Toc10830"/>
      <w:r>
        <w:rPr>
          <w:rFonts w:hint="eastAsia" w:asciiTheme="minorEastAsia" w:hAnsiTheme="minorEastAsia" w:eastAsiaTheme="minorEastAsia"/>
          <w:b/>
          <w:sz w:val="28"/>
          <w:highlight w:val="none"/>
        </w:rPr>
        <w:t xml:space="preserve">第一章 </w:t>
      </w:r>
      <w:r>
        <w:rPr>
          <w:rFonts w:asciiTheme="minorEastAsia" w:hAnsiTheme="minorEastAsia" w:eastAsiaTheme="minorEastAsia"/>
          <w:b/>
          <w:sz w:val="28"/>
          <w:highlight w:val="none"/>
        </w:rPr>
        <w:t xml:space="preserve"> 投标邀请</w:t>
      </w:r>
      <w:bookmarkEnd w:id="1"/>
    </w:p>
    <w:p w14:paraId="44727D40">
      <w:pPr>
        <w:pStyle w:val="20"/>
        <w:wordWrap w:val="0"/>
        <w:spacing w:before="0" w:beforeAutospacing="0" w:after="0" w:afterAutospacing="0" w:line="360" w:lineRule="auto"/>
        <w:ind w:firstLine="480" w:firstLineChars="200"/>
        <w:rPr>
          <w:rFonts w:hint="eastAsia" w:ascii="宋体" w:hAnsi="宋体" w:eastAsia="宋体" w:cs="宋体"/>
          <w:szCs w:val="24"/>
          <w:highlight w:val="none"/>
        </w:rPr>
      </w:pPr>
      <w:bookmarkStart w:id="2" w:name="_Toc7265"/>
      <w:bookmarkStart w:id="3" w:name="_Toc3854"/>
      <w:r>
        <w:rPr>
          <w:rFonts w:hint="eastAsia" w:ascii="宋体" w:hAnsi="宋体" w:eastAsia="宋体" w:cs="宋体"/>
          <w:kern w:val="2"/>
          <w:szCs w:val="24"/>
          <w:highlight w:val="none"/>
          <w:shd w:val="clear" w:color="auto" w:fill="FFFFFF"/>
        </w:rPr>
        <w:t>项目概况</w:t>
      </w:r>
    </w:p>
    <w:p w14:paraId="11649451">
      <w:pPr>
        <w:widowControl/>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eastAsia="zh-CN"/>
        </w:rPr>
        <w:t>2025年滁州市母婴阻断项目试剂（非药字号）采购项目</w:t>
      </w:r>
      <w:r>
        <w:rPr>
          <w:rFonts w:hint="eastAsia" w:ascii="宋体" w:hAnsi="宋体" w:eastAsia="宋体" w:cs="宋体"/>
          <w:sz w:val="24"/>
          <w:szCs w:val="24"/>
          <w:highlight w:val="none"/>
          <w:shd w:val="clear" w:color="auto" w:fill="FFFFFF"/>
          <w:lang w:bidi="ar"/>
        </w:rPr>
        <w:t>的潜在投标人应在</w:t>
      </w:r>
      <w:r>
        <w:rPr>
          <w:rFonts w:hint="eastAsia" w:ascii="宋体" w:hAnsi="宋体" w:eastAsia="宋体" w:cs="宋体"/>
          <w:sz w:val="24"/>
          <w:szCs w:val="24"/>
          <w:highlight w:val="none"/>
          <w:u w:val="single"/>
          <w:shd w:val="clear" w:color="auto" w:fill="FFFFFF"/>
          <w:lang w:eastAsia="zh-CN" w:bidi="ar"/>
        </w:rPr>
        <w:t>滁州市妇幼保健计划生育服务中心网站（http://www.czsfjzx.com/）</w:t>
      </w:r>
      <w:r>
        <w:rPr>
          <w:rFonts w:hint="eastAsia" w:ascii="宋体" w:hAnsi="宋体" w:eastAsia="宋体" w:cs="宋体"/>
          <w:sz w:val="24"/>
          <w:szCs w:val="24"/>
          <w:highlight w:val="none"/>
          <w:shd w:val="clear" w:color="auto" w:fill="FFFFFF"/>
          <w:lang w:bidi="ar"/>
        </w:rPr>
        <w:t>获取招标文件，并于</w:t>
      </w:r>
      <w:r>
        <w:rPr>
          <w:rFonts w:hint="eastAsia" w:ascii="宋体" w:hAnsi="宋体" w:eastAsia="宋体" w:cs="宋体"/>
          <w:sz w:val="24"/>
          <w:szCs w:val="24"/>
          <w:highlight w:val="none"/>
          <w:u w:val="single"/>
          <w:shd w:val="clear" w:color="auto" w:fill="FFFFFF"/>
          <w:lang w:eastAsia="zh-CN" w:bidi="ar"/>
        </w:rPr>
        <w:t>2025</w:t>
      </w:r>
      <w:r>
        <w:rPr>
          <w:rFonts w:hint="eastAsia" w:ascii="宋体" w:hAnsi="宋体" w:eastAsia="宋体" w:cs="宋体"/>
          <w:sz w:val="24"/>
          <w:szCs w:val="24"/>
          <w:highlight w:val="none"/>
          <w:u w:val="single"/>
          <w:shd w:val="clear" w:color="auto" w:fill="FFFFFF"/>
          <w:lang w:bidi="ar"/>
        </w:rPr>
        <w:t>年</w:t>
      </w:r>
      <w:r>
        <w:rPr>
          <w:rFonts w:hint="eastAsia" w:ascii="宋体" w:hAnsi="宋体" w:eastAsia="宋体" w:cs="宋体"/>
          <w:sz w:val="24"/>
          <w:szCs w:val="24"/>
          <w:highlight w:val="none"/>
          <w:u w:val="single"/>
          <w:shd w:val="clear" w:color="auto" w:fill="FFFFFF"/>
          <w:lang w:val="en-US" w:eastAsia="zh-CN" w:bidi="ar"/>
        </w:rPr>
        <w:t>4</w:t>
      </w:r>
      <w:r>
        <w:rPr>
          <w:rFonts w:hint="eastAsia" w:ascii="宋体" w:hAnsi="宋体" w:eastAsia="宋体" w:cs="宋体"/>
          <w:sz w:val="24"/>
          <w:szCs w:val="24"/>
          <w:highlight w:val="none"/>
          <w:u w:val="single"/>
          <w:shd w:val="clear" w:color="auto" w:fill="FFFFFF"/>
          <w:lang w:bidi="ar"/>
        </w:rPr>
        <w:t>月</w:t>
      </w:r>
      <w:r>
        <w:rPr>
          <w:rFonts w:hint="eastAsia" w:ascii="宋体" w:hAnsi="宋体" w:eastAsia="宋体" w:cs="宋体"/>
          <w:sz w:val="24"/>
          <w:szCs w:val="24"/>
          <w:highlight w:val="none"/>
          <w:u w:val="single"/>
          <w:shd w:val="clear" w:color="auto" w:fill="FFFFFF"/>
          <w:lang w:val="en-US" w:eastAsia="zh-CN" w:bidi="ar"/>
        </w:rPr>
        <w:t>7</w:t>
      </w:r>
      <w:r>
        <w:rPr>
          <w:rFonts w:hint="eastAsia" w:ascii="宋体" w:hAnsi="宋体" w:eastAsia="宋体" w:cs="宋体"/>
          <w:sz w:val="24"/>
          <w:szCs w:val="24"/>
          <w:highlight w:val="none"/>
          <w:u w:val="single"/>
          <w:shd w:val="clear" w:color="auto" w:fill="FFFFFF"/>
          <w:lang w:bidi="ar"/>
        </w:rPr>
        <w:t>日</w:t>
      </w:r>
      <w:r>
        <w:rPr>
          <w:rFonts w:hint="eastAsia" w:ascii="宋体" w:hAnsi="宋体" w:eastAsia="宋体" w:cs="宋体"/>
          <w:sz w:val="24"/>
          <w:szCs w:val="24"/>
          <w:highlight w:val="none"/>
          <w:u w:val="single"/>
          <w:shd w:val="clear" w:color="auto" w:fill="FFFFFF"/>
          <w:lang w:val="en-US" w:eastAsia="zh-CN" w:bidi="ar"/>
        </w:rPr>
        <w:t>15</w:t>
      </w:r>
      <w:r>
        <w:rPr>
          <w:rFonts w:hint="eastAsia" w:ascii="宋体" w:hAnsi="宋体" w:eastAsia="宋体" w:cs="宋体"/>
          <w:sz w:val="24"/>
          <w:szCs w:val="24"/>
          <w:highlight w:val="none"/>
          <w:u w:val="single"/>
          <w:shd w:val="clear" w:color="auto" w:fill="FFFFFF"/>
          <w:lang w:bidi="ar"/>
        </w:rPr>
        <w:t>点00分</w:t>
      </w:r>
      <w:r>
        <w:rPr>
          <w:rFonts w:hint="eastAsia" w:ascii="宋体" w:hAnsi="宋体" w:eastAsia="宋体" w:cs="宋体"/>
          <w:sz w:val="24"/>
          <w:szCs w:val="24"/>
          <w:highlight w:val="none"/>
          <w:shd w:val="clear" w:color="auto" w:fill="FFFFFF"/>
          <w:lang w:bidi="ar"/>
        </w:rPr>
        <w:t>（北京时间）前递交投标文件。</w:t>
      </w:r>
    </w:p>
    <w:p w14:paraId="1D3EB9C8">
      <w:pPr>
        <w:pStyle w:val="20"/>
        <w:wordWrap w:val="0"/>
        <w:spacing w:before="0" w:beforeAutospacing="0" w:after="0" w:afterAutospacing="0" w:line="360" w:lineRule="auto"/>
        <w:rPr>
          <w:rFonts w:hint="eastAsia" w:ascii="宋体" w:hAnsi="宋体" w:eastAsia="宋体" w:cs="宋体"/>
          <w:b/>
          <w:bCs/>
          <w:szCs w:val="24"/>
          <w:highlight w:val="none"/>
        </w:rPr>
      </w:pPr>
      <w:r>
        <w:rPr>
          <w:rFonts w:hint="eastAsia" w:ascii="宋体" w:hAnsi="宋体" w:eastAsia="宋体" w:cs="宋体"/>
          <w:b/>
          <w:bCs/>
          <w:szCs w:val="24"/>
          <w:highlight w:val="none"/>
          <w:shd w:val="clear" w:color="auto" w:fill="FFFFFF"/>
        </w:rPr>
        <w:t>一、项目基本情况</w:t>
      </w:r>
    </w:p>
    <w:p w14:paraId="5376CE86">
      <w:pPr>
        <w:widowControl/>
        <w:wordWrap w:val="0"/>
        <w:spacing w:line="360" w:lineRule="auto"/>
        <w:ind w:firstLine="480" w:firstLineChars="200"/>
        <w:jc w:val="left"/>
        <w:rPr>
          <w:rFonts w:hint="eastAsia" w:ascii="宋体" w:hAnsi="宋体" w:eastAsia="宋体" w:cs="宋体"/>
          <w:sz w:val="24"/>
          <w:szCs w:val="24"/>
          <w:highlight w:val="none"/>
          <w:shd w:val="clear" w:color="auto" w:fill="FFFFFF"/>
          <w:lang w:eastAsia="zh-CN" w:bidi="ar"/>
        </w:rPr>
      </w:pPr>
      <w:r>
        <w:rPr>
          <w:rFonts w:hint="eastAsia" w:ascii="宋体" w:hAnsi="宋体" w:eastAsia="宋体" w:cs="宋体"/>
          <w:sz w:val="24"/>
          <w:szCs w:val="24"/>
          <w:highlight w:val="none"/>
          <w:shd w:val="clear" w:color="auto" w:fill="FFFFFF"/>
          <w:lang w:bidi="ar"/>
        </w:rPr>
        <w:t>项目名称：</w:t>
      </w:r>
      <w:r>
        <w:rPr>
          <w:rFonts w:hint="eastAsia" w:ascii="宋体" w:hAnsi="宋体" w:eastAsia="宋体" w:cs="宋体"/>
          <w:sz w:val="24"/>
          <w:szCs w:val="24"/>
          <w:highlight w:val="none"/>
          <w:shd w:val="clear" w:color="auto" w:fill="FFFFFF"/>
          <w:lang w:eastAsia="zh-CN" w:bidi="ar"/>
        </w:rPr>
        <w:t>2025年滁州市母婴阻断项目试剂（非药字号）采购项目</w:t>
      </w:r>
    </w:p>
    <w:p w14:paraId="7455A5F8">
      <w:pPr>
        <w:widowControl/>
        <w:wordWrap w:val="0"/>
        <w:spacing w:line="360" w:lineRule="auto"/>
        <w:ind w:firstLine="480" w:firstLineChars="200"/>
        <w:jc w:val="left"/>
        <w:rPr>
          <w:rFonts w:hint="eastAsia" w:ascii="宋体" w:hAnsi="宋体" w:eastAsia="宋体" w:cs="宋体"/>
          <w:sz w:val="24"/>
          <w:szCs w:val="24"/>
          <w:highlight w:val="none"/>
          <w:shd w:val="clear" w:color="auto" w:fill="FFFFFF"/>
          <w:lang w:eastAsia="zh-CN" w:bidi="ar"/>
        </w:rPr>
      </w:pPr>
      <w:r>
        <w:rPr>
          <w:rFonts w:hint="eastAsia" w:ascii="宋体" w:hAnsi="宋体" w:eastAsia="宋体" w:cs="宋体"/>
          <w:sz w:val="24"/>
          <w:szCs w:val="24"/>
          <w:highlight w:val="none"/>
          <w:shd w:val="clear" w:color="auto" w:fill="FFFFFF"/>
          <w:lang w:bidi="ar"/>
        </w:rPr>
        <w:t>预算金额：</w:t>
      </w:r>
      <w:r>
        <w:rPr>
          <w:rFonts w:hint="eastAsia" w:ascii="宋体" w:hAnsi="宋体" w:eastAsia="宋体" w:cs="宋体"/>
          <w:sz w:val="24"/>
          <w:szCs w:val="24"/>
          <w:highlight w:val="none"/>
          <w:shd w:val="clear" w:color="auto" w:fill="FFFFFF"/>
          <w:lang w:eastAsia="zh-CN" w:bidi="ar"/>
        </w:rPr>
        <w:t>26.50万元</w:t>
      </w:r>
    </w:p>
    <w:p w14:paraId="5303DA06">
      <w:pPr>
        <w:spacing w:line="360" w:lineRule="auto"/>
        <w:ind w:firstLine="480" w:firstLineChars="200"/>
        <w:rPr>
          <w:rFonts w:hint="eastAsia" w:ascii="宋体" w:hAnsi="宋体" w:eastAsia="宋体" w:cs="宋体"/>
          <w:sz w:val="24"/>
          <w:szCs w:val="24"/>
          <w:highlight w:val="none"/>
          <w:shd w:val="clear" w:color="auto" w:fill="FFFFFF"/>
          <w:lang w:bidi="ar"/>
        </w:rPr>
      </w:pPr>
      <w:r>
        <w:rPr>
          <w:rFonts w:hint="eastAsia" w:ascii="宋体" w:hAnsi="宋体" w:eastAsia="宋体" w:cs="宋体"/>
          <w:sz w:val="24"/>
          <w:szCs w:val="24"/>
          <w:highlight w:val="none"/>
          <w:shd w:val="clear" w:color="auto" w:fill="FFFFFF"/>
          <w:lang w:bidi="ar"/>
        </w:rPr>
        <w:t>最高限价：</w:t>
      </w:r>
      <w:r>
        <w:rPr>
          <w:rFonts w:hint="eastAsia" w:asciiTheme="minorEastAsia" w:hAnsiTheme="minorEastAsia" w:eastAsiaTheme="minorEastAsia"/>
          <w:sz w:val="24"/>
          <w:highlight w:val="none"/>
          <w:lang w:eastAsia="zh-CN"/>
        </w:rPr>
        <w:t>贰拾陆万伍仟元整（265000.00元）</w:t>
      </w:r>
      <w:r>
        <w:rPr>
          <w:rFonts w:hint="eastAsia" w:asciiTheme="minorEastAsia" w:hAnsiTheme="minorEastAsia" w:eastAsiaTheme="minorEastAsia"/>
          <w:sz w:val="24"/>
          <w:highlight w:val="none"/>
        </w:rPr>
        <w:t xml:space="preserve">，投标报价不得高于最高限价，否则按无效标处理。  </w:t>
      </w:r>
    </w:p>
    <w:p w14:paraId="29E72B56">
      <w:pPr>
        <w:widowControl/>
        <w:wordWrap w:val="0"/>
        <w:spacing w:line="360" w:lineRule="auto"/>
        <w:ind w:firstLine="480" w:firstLineChars="200"/>
        <w:jc w:val="left"/>
        <w:rPr>
          <w:rFonts w:hint="eastAsia" w:ascii="宋体" w:hAnsi="宋体" w:eastAsia="宋体" w:cs="宋体"/>
          <w:sz w:val="24"/>
          <w:szCs w:val="24"/>
          <w:highlight w:val="none"/>
          <w:shd w:val="clear" w:color="auto" w:fill="FFFFFF"/>
          <w:lang w:bidi="ar"/>
        </w:rPr>
      </w:pPr>
      <w:r>
        <w:rPr>
          <w:rFonts w:hint="eastAsia" w:ascii="宋体" w:hAnsi="宋体" w:eastAsia="宋体" w:cs="宋体"/>
          <w:sz w:val="24"/>
          <w:szCs w:val="24"/>
          <w:highlight w:val="none"/>
          <w:shd w:val="clear" w:color="auto" w:fill="FFFFFF"/>
          <w:lang w:bidi="ar"/>
        </w:rPr>
        <w:t>采购需求：</w:t>
      </w:r>
      <w:r>
        <w:rPr>
          <w:rFonts w:hint="eastAsia" w:ascii="宋体" w:hAnsi="宋体" w:eastAsia="宋体" w:cs="宋体"/>
          <w:sz w:val="24"/>
          <w:szCs w:val="24"/>
          <w:highlight w:val="none"/>
          <w:shd w:val="clear" w:color="auto" w:fill="FFFFFF"/>
          <w:lang w:val="en-US" w:eastAsia="zh-CN" w:bidi="ar"/>
        </w:rPr>
        <w:t>包含HIV试剂、梅毒试剂、乙肝五项等</w:t>
      </w:r>
      <w:r>
        <w:rPr>
          <w:rFonts w:hint="eastAsia" w:ascii="宋体" w:hAnsi="宋体" w:eastAsia="宋体" w:cs="宋体"/>
          <w:sz w:val="24"/>
          <w:szCs w:val="24"/>
          <w:highlight w:val="none"/>
          <w:shd w:val="clear" w:color="auto" w:fill="FFFFFF"/>
          <w:lang w:bidi="ar"/>
        </w:rPr>
        <w:t>。</w:t>
      </w:r>
    </w:p>
    <w:p w14:paraId="27328FBB">
      <w:pPr>
        <w:spacing w:line="360" w:lineRule="auto"/>
        <w:ind w:firstLine="480" w:firstLineChars="200"/>
        <w:rPr>
          <w:rFonts w:hint="eastAsia" w:ascii="宋体" w:hAnsi="宋体" w:eastAsia="宋体" w:cs="宋体"/>
          <w:sz w:val="24"/>
          <w:szCs w:val="24"/>
          <w:highlight w:val="none"/>
          <w:shd w:val="clear" w:color="auto" w:fill="FFFFFF"/>
          <w:lang w:bidi="ar"/>
        </w:rPr>
      </w:pPr>
      <w:r>
        <w:rPr>
          <w:rFonts w:hint="eastAsia" w:ascii="宋体" w:hAnsi="宋体" w:eastAsia="宋体" w:cs="宋体"/>
          <w:sz w:val="24"/>
          <w:szCs w:val="24"/>
          <w:highlight w:val="none"/>
          <w:shd w:val="clear" w:color="auto" w:fill="FFFFFF"/>
          <w:lang w:bidi="ar"/>
        </w:rPr>
        <w:t>合同履行期限：</w:t>
      </w:r>
      <w:r>
        <w:rPr>
          <w:rFonts w:hint="eastAsia" w:ascii="宋体" w:hAnsi="宋体" w:eastAsia="宋体" w:cs="宋体"/>
          <w:sz w:val="24"/>
          <w:szCs w:val="24"/>
          <w:highlight w:val="none"/>
          <w:shd w:val="clear" w:color="auto" w:fill="FFFFFF"/>
          <w:lang w:val="en-US" w:eastAsia="zh-CN" w:bidi="ar"/>
        </w:rPr>
        <w:t>合同签订后，按照采购人工作需求分批次进行供货</w:t>
      </w:r>
      <w:r>
        <w:rPr>
          <w:rFonts w:hint="eastAsia" w:ascii="宋体" w:hAnsi="宋体" w:eastAsia="宋体" w:cs="宋体"/>
          <w:sz w:val="24"/>
          <w:szCs w:val="24"/>
          <w:highlight w:val="none"/>
          <w:shd w:val="clear" w:color="auto" w:fill="FFFFFF"/>
          <w:lang w:bidi="ar"/>
        </w:rPr>
        <w:t>。</w:t>
      </w:r>
    </w:p>
    <w:p w14:paraId="538AE6A5">
      <w:pPr>
        <w:widowControl/>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lang w:bidi="ar"/>
        </w:rPr>
        <w:t>本项目不接受联合体投标。</w:t>
      </w:r>
    </w:p>
    <w:p w14:paraId="5CF482D2">
      <w:pPr>
        <w:pStyle w:val="20"/>
        <w:wordWrap w:val="0"/>
        <w:spacing w:before="0" w:beforeAutospacing="0" w:after="0" w:afterAutospacing="0" w:line="360" w:lineRule="auto"/>
        <w:rPr>
          <w:rFonts w:hint="eastAsia" w:ascii="宋体" w:hAnsi="宋体" w:eastAsia="宋体" w:cs="宋体"/>
          <w:b/>
          <w:bCs/>
          <w:szCs w:val="24"/>
          <w:highlight w:val="none"/>
          <w:shd w:val="clear" w:color="auto" w:fill="FFFFFF"/>
        </w:rPr>
      </w:pPr>
      <w:bookmarkStart w:id="4" w:name="_Toc6066"/>
      <w:bookmarkStart w:id="5" w:name="_Toc17880"/>
      <w:bookmarkStart w:id="6" w:name="_Toc28423"/>
      <w:r>
        <w:rPr>
          <w:rFonts w:hint="eastAsia" w:ascii="宋体" w:hAnsi="宋体" w:eastAsia="宋体" w:cs="宋体"/>
          <w:b/>
          <w:bCs/>
          <w:szCs w:val="24"/>
          <w:highlight w:val="none"/>
          <w:shd w:val="clear" w:color="auto" w:fill="FFFFFF"/>
        </w:rPr>
        <w:t>二、申请人的资格要求</w:t>
      </w:r>
      <w:bookmarkEnd w:id="4"/>
      <w:bookmarkEnd w:id="5"/>
      <w:bookmarkEnd w:id="6"/>
    </w:p>
    <w:p w14:paraId="42DE98D9">
      <w:pPr>
        <w:widowControl/>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lang w:bidi="ar"/>
        </w:rPr>
        <w:t>1.满足《中华人民共和国政府采购法》第二十二条规定；</w:t>
      </w:r>
    </w:p>
    <w:p w14:paraId="408A369A">
      <w:pPr>
        <w:spacing w:line="360" w:lineRule="auto"/>
        <w:ind w:firstLine="480" w:firstLineChars="200"/>
        <w:jc w:val="left"/>
        <w:rPr>
          <w:rFonts w:hint="eastAsia" w:ascii="宋体" w:hAnsi="宋体" w:eastAsia="宋体" w:cs="宋体"/>
          <w:sz w:val="24"/>
          <w:szCs w:val="24"/>
          <w:highlight w:val="none"/>
          <w:u w:val="single"/>
          <w:shd w:val="clear" w:color="auto" w:fill="FFFFFF"/>
          <w:lang w:bidi="ar"/>
        </w:rPr>
      </w:pPr>
      <w:r>
        <w:rPr>
          <w:rFonts w:hint="eastAsia" w:ascii="宋体" w:hAnsi="宋体" w:eastAsia="宋体" w:cs="宋体"/>
          <w:sz w:val="24"/>
          <w:szCs w:val="24"/>
          <w:highlight w:val="none"/>
          <w:shd w:val="clear" w:color="auto" w:fill="FFFFFF"/>
          <w:lang w:bidi="ar"/>
        </w:rPr>
        <w:t>2.落实政府采购政策需满足的资格要求：</w:t>
      </w:r>
      <w:r>
        <w:rPr>
          <w:rFonts w:hint="eastAsia" w:ascii="宋体" w:hAnsi="宋体" w:eastAsia="宋体" w:cs="宋体"/>
          <w:sz w:val="24"/>
          <w:szCs w:val="24"/>
          <w:highlight w:val="none"/>
          <w:u w:val="single"/>
          <w:shd w:val="clear" w:color="auto" w:fill="FFFFFF"/>
          <w:lang w:bidi="ar"/>
        </w:rPr>
        <w:t>按照财政部、工业和信息化部制定的《政府采购促进中小企业发展管理办法》第六条第三款之规定（按照本办法规定预留采购份额无法确保充分供应、充分竞争，或者存在可能影响政府采购目标实现的情形），为非专门面向中小企业采购项目。若中小企业对此有质疑，可按以下渠道递交质疑：以书面材料递交至采购人或采购代理机构处。</w:t>
      </w:r>
    </w:p>
    <w:p w14:paraId="5C05C998">
      <w:pPr>
        <w:widowControl/>
        <w:wordWrap w:val="0"/>
        <w:spacing w:line="360" w:lineRule="auto"/>
        <w:ind w:firstLine="480" w:firstLineChars="200"/>
        <w:jc w:val="left"/>
        <w:rPr>
          <w:rFonts w:hint="eastAsia" w:ascii="宋体" w:hAnsi="宋体" w:eastAsia="宋体" w:cs="宋体"/>
          <w:sz w:val="24"/>
          <w:szCs w:val="24"/>
          <w:highlight w:val="none"/>
          <w:shd w:val="clear" w:color="auto" w:fill="FFFFFF"/>
          <w:lang w:bidi="ar"/>
        </w:rPr>
      </w:pPr>
      <w:r>
        <w:rPr>
          <w:rFonts w:hint="eastAsia" w:ascii="宋体" w:hAnsi="宋体" w:eastAsia="宋体" w:cs="宋体"/>
          <w:sz w:val="24"/>
          <w:szCs w:val="24"/>
          <w:highlight w:val="none"/>
          <w:shd w:val="clear" w:color="auto" w:fill="FFFFFF"/>
          <w:lang w:bidi="ar"/>
        </w:rPr>
        <w:t>3.本项目的特定资格要求：</w:t>
      </w:r>
      <w:r>
        <w:rPr>
          <w:rFonts w:hint="eastAsia" w:ascii="宋体" w:hAnsi="宋体" w:eastAsia="宋体" w:cs="宋体"/>
          <w:sz w:val="24"/>
          <w:szCs w:val="24"/>
          <w:highlight w:val="none"/>
          <w:u w:val="single"/>
          <w:shd w:val="clear" w:color="auto" w:fill="FFFFFF"/>
          <w:lang w:val="en-US" w:eastAsia="zh-CN" w:bidi="ar"/>
        </w:rPr>
        <w:t>投标人为制造商的必须取得国家食品药品监督管理部门颁发的此类设备或试剂耗材医疗器械生产许可证，投标人为代理商或经销商应具有有效的中华人民共和国医疗器械经营许可证和第二类医疗器械经营备案凭证</w:t>
      </w:r>
      <w:r>
        <w:rPr>
          <w:rFonts w:hint="eastAsia" w:ascii="宋体" w:hAnsi="宋体" w:eastAsia="宋体" w:cs="宋体"/>
          <w:sz w:val="24"/>
          <w:szCs w:val="24"/>
          <w:highlight w:val="none"/>
          <w:u w:val="single"/>
          <w:shd w:val="clear" w:color="auto" w:fill="FFFFFF"/>
          <w:lang w:bidi="ar"/>
        </w:rPr>
        <w:t>。</w:t>
      </w:r>
    </w:p>
    <w:p w14:paraId="4260B3BF">
      <w:pPr>
        <w:widowControl/>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lang w:bidi="ar"/>
        </w:rPr>
        <w:t>4.信誉要求：投标人不得存在以下情形：</w:t>
      </w:r>
    </w:p>
    <w:p w14:paraId="4E1662A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①投标人被人民法院列入失信被执行人的；</w:t>
      </w:r>
    </w:p>
    <w:p w14:paraId="221F74E3">
      <w:pPr>
        <w:widowControl/>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w:t>
      </w:r>
      <w:r>
        <w:rPr>
          <w:rFonts w:hint="eastAsia" w:ascii="宋体" w:hAnsi="宋体" w:eastAsia="宋体" w:cs="宋体"/>
          <w:sz w:val="24"/>
          <w:szCs w:val="24"/>
          <w:highlight w:val="none"/>
          <w:shd w:val="clear" w:color="auto" w:fill="FFFFFF"/>
          <w:lang w:bidi="ar"/>
        </w:rPr>
        <w:t>投标人或其法定代表人或拟派项目经理（项目负责人）前三年有行贿犯罪行为的；</w:t>
      </w:r>
    </w:p>
    <w:p w14:paraId="170E5BE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③投标人被市场监督管理部门列入经营异常名录或者严重违法企业名单，且未被移除的；</w:t>
      </w:r>
    </w:p>
    <w:p w14:paraId="131E62E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④投标人被税务部门列入重大税收违法案件当事人的；</w:t>
      </w:r>
    </w:p>
    <w:p w14:paraId="7361951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⑤投标人被政府采购监管部门列入政府采购严重违法失信行为记录名单的；</w:t>
      </w:r>
    </w:p>
    <w:p w14:paraId="4DC70586">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⑥在“信用中国”网站上披露仍在公示期的严重失信行为的；</w:t>
      </w:r>
    </w:p>
    <w:p w14:paraId="587702E5">
      <w:pPr>
        <w:widowControl/>
        <w:wordWrap w:val="0"/>
        <w:spacing w:line="360" w:lineRule="auto"/>
        <w:ind w:firstLine="480" w:firstLineChars="200"/>
        <w:jc w:val="left"/>
        <w:rPr>
          <w:rFonts w:hint="eastAsia" w:ascii="宋体" w:hAnsi="宋体" w:eastAsia="宋体" w:cs="宋体"/>
          <w:sz w:val="24"/>
          <w:szCs w:val="24"/>
          <w:highlight w:val="none"/>
          <w:shd w:val="clear" w:color="auto" w:fill="FFFFFF"/>
          <w:lang w:bidi="ar"/>
        </w:rPr>
      </w:pPr>
      <w:r>
        <w:rPr>
          <w:rFonts w:hint="eastAsia" w:ascii="宋体" w:hAnsi="宋体" w:eastAsia="宋体" w:cs="宋体"/>
          <w:sz w:val="24"/>
          <w:szCs w:val="24"/>
          <w:highlight w:val="none"/>
          <w:shd w:val="clear" w:color="auto" w:fill="FFFFFF"/>
          <w:lang w:bidi="ar"/>
        </w:rPr>
        <w:t>5.投标人所属分公司、办事处等分支机构存在第4款信誉要求①-⑥项情形之一的，接受投标人参加本项目。</w:t>
      </w:r>
    </w:p>
    <w:p w14:paraId="1456B93B">
      <w:pPr>
        <w:widowControl/>
        <w:wordWrap w:val="0"/>
        <w:spacing w:line="360" w:lineRule="auto"/>
        <w:ind w:firstLine="480" w:firstLineChars="200"/>
        <w:jc w:val="left"/>
        <w:rPr>
          <w:rFonts w:hint="eastAsia" w:ascii="宋体" w:hAnsi="宋体" w:eastAsia="宋体" w:cs="宋体"/>
          <w:sz w:val="24"/>
          <w:szCs w:val="24"/>
          <w:highlight w:val="none"/>
          <w:shd w:val="clear" w:color="auto" w:fill="FFFFFF"/>
          <w:lang w:bidi="ar"/>
        </w:rPr>
      </w:pPr>
      <w:r>
        <w:rPr>
          <w:rFonts w:hint="eastAsia" w:ascii="宋体" w:hAnsi="宋体" w:eastAsia="宋体" w:cs="宋体"/>
          <w:sz w:val="24"/>
          <w:szCs w:val="24"/>
          <w:highlight w:val="none"/>
          <w:shd w:val="clear" w:color="auto" w:fill="FFFFFF"/>
          <w:lang w:bidi="ar"/>
        </w:rPr>
        <w:t>备注：第4、5条按照“关于联合惩戒失信行为加强信用查询管理的通知”查询或承诺。</w:t>
      </w:r>
    </w:p>
    <w:p w14:paraId="0144BCBB">
      <w:pPr>
        <w:pStyle w:val="20"/>
        <w:wordWrap w:val="0"/>
        <w:spacing w:before="0" w:beforeAutospacing="0" w:after="0" w:afterAutospacing="0" w:line="360" w:lineRule="auto"/>
        <w:rPr>
          <w:rFonts w:hint="eastAsia" w:ascii="宋体" w:hAnsi="宋体" w:eastAsia="宋体" w:cs="宋体"/>
          <w:b/>
          <w:bCs/>
          <w:szCs w:val="24"/>
          <w:highlight w:val="none"/>
          <w:shd w:val="clear" w:color="auto" w:fill="FFFFFF"/>
        </w:rPr>
      </w:pPr>
      <w:bookmarkStart w:id="7" w:name="_Toc30807"/>
      <w:bookmarkStart w:id="8" w:name="_Toc6760"/>
      <w:bookmarkStart w:id="9" w:name="_Toc521"/>
      <w:r>
        <w:rPr>
          <w:rFonts w:hint="eastAsia" w:ascii="宋体" w:hAnsi="宋体" w:eastAsia="宋体" w:cs="宋体"/>
          <w:b/>
          <w:bCs/>
          <w:szCs w:val="24"/>
          <w:highlight w:val="none"/>
          <w:shd w:val="clear" w:color="auto" w:fill="FFFFFF"/>
        </w:rPr>
        <w:t>三、获取招标文件</w:t>
      </w:r>
      <w:bookmarkEnd w:id="7"/>
      <w:bookmarkEnd w:id="8"/>
      <w:bookmarkEnd w:id="9"/>
    </w:p>
    <w:p w14:paraId="3EFC9A8C">
      <w:pPr>
        <w:widowControl/>
        <w:wordWrap w:val="0"/>
        <w:spacing w:line="360" w:lineRule="auto"/>
        <w:ind w:firstLine="480" w:firstLineChars="200"/>
        <w:jc w:val="left"/>
        <w:rPr>
          <w:rFonts w:hint="eastAsia" w:ascii="宋体" w:hAnsi="宋体" w:eastAsia="宋体" w:cs="宋体"/>
          <w:sz w:val="24"/>
          <w:szCs w:val="24"/>
          <w:highlight w:val="none"/>
          <w:u w:val="single"/>
          <w:shd w:val="clear" w:color="auto" w:fill="FFFFFF"/>
          <w:lang w:bidi="ar"/>
        </w:rPr>
      </w:pPr>
      <w:r>
        <w:rPr>
          <w:rFonts w:hint="eastAsia" w:ascii="宋体" w:hAnsi="宋体" w:eastAsia="宋体" w:cs="宋体"/>
          <w:sz w:val="24"/>
          <w:szCs w:val="24"/>
          <w:highlight w:val="none"/>
          <w:shd w:val="clear" w:color="auto" w:fill="FFFFFF"/>
          <w:lang w:bidi="ar"/>
        </w:rPr>
        <w:t>时间：</w:t>
      </w:r>
      <w:r>
        <w:rPr>
          <w:rFonts w:hint="eastAsia" w:ascii="宋体" w:hAnsi="宋体" w:eastAsia="宋体" w:cs="宋体"/>
          <w:sz w:val="24"/>
          <w:szCs w:val="24"/>
          <w:highlight w:val="none"/>
          <w:u w:val="none"/>
          <w:shd w:val="clear" w:color="auto" w:fill="FFFFFF"/>
          <w:lang w:eastAsia="zh-CN" w:bidi="ar"/>
        </w:rPr>
        <w:t>2025</w:t>
      </w:r>
      <w:r>
        <w:rPr>
          <w:rFonts w:hint="eastAsia" w:ascii="宋体" w:hAnsi="宋体" w:eastAsia="宋体" w:cs="宋体"/>
          <w:sz w:val="24"/>
          <w:szCs w:val="24"/>
          <w:highlight w:val="none"/>
          <w:u w:val="none"/>
          <w:shd w:val="clear" w:color="auto" w:fill="FFFFFF"/>
          <w:lang w:bidi="ar"/>
        </w:rPr>
        <w:t>年</w:t>
      </w:r>
      <w:r>
        <w:rPr>
          <w:rFonts w:hint="eastAsia" w:ascii="宋体" w:hAnsi="宋体" w:eastAsia="宋体" w:cs="宋体"/>
          <w:sz w:val="24"/>
          <w:szCs w:val="24"/>
          <w:highlight w:val="none"/>
          <w:u w:val="none"/>
          <w:shd w:val="clear" w:color="auto" w:fill="FFFFFF"/>
          <w:lang w:val="en-US" w:eastAsia="zh-CN" w:bidi="ar"/>
        </w:rPr>
        <w:t>3</w:t>
      </w:r>
      <w:r>
        <w:rPr>
          <w:rFonts w:hint="eastAsia" w:ascii="宋体" w:hAnsi="宋体" w:eastAsia="宋体" w:cs="宋体"/>
          <w:sz w:val="24"/>
          <w:szCs w:val="24"/>
          <w:highlight w:val="none"/>
          <w:u w:val="none"/>
          <w:shd w:val="clear" w:color="auto" w:fill="FFFFFF"/>
          <w:lang w:bidi="ar"/>
        </w:rPr>
        <w:t>月</w:t>
      </w:r>
      <w:r>
        <w:rPr>
          <w:rFonts w:hint="eastAsia" w:ascii="宋体" w:hAnsi="宋体" w:eastAsia="宋体" w:cs="宋体"/>
          <w:sz w:val="24"/>
          <w:szCs w:val="24"/>
          <w:highlight w:val="none"/>
          <w:u w:val="none"/>
          <w:shd w:val="clear" w:color="auto" w:fill="FFFFFF"/>
          <w:lang w:val="en-US" w:eastAsia="zh-CN" w:bidi="ar"/>
        </w:rPr>
        <w:t>18</w:t>
      </w:r>
      <w:r>
        <w:rPr>
          <w:rFonts w:hint="eastAsia" w:ascii="宋体" w:hAnsi="宋体" w:eastAsia="宋体" w:cs="宋体"/>
          <w:sz w:val="24"/>
          <w:szCs w:val="24"/>
          <w:highlight w:val="none"/>
          <w:u w:val="none"/>
          <w:shd w:val="clear" w:color="auto" w:fill="FFFFFF"/>
          <w:lang w:bidi="ar"/>
        </w:rPr>
        <w:t xml:space="preserve">日至 </w:t>
      </w:r>
      <w:r>
        <w:rPr>
          <w:rFonts w:hint="eastAsia" w:ascii="宋体" w:hAnsi="宋体" w:eastAsia="宋体" w:cs="宋体"/>
          <w:sz w:val="24"/>
          <w:szCs w:val="24"/>
          <w:highlight w:val="none"/>
          <w:u w:val="none"/>
          <w:shd w:val="clear" w:color="auto" w:fill="FFFFFF"/>
          <w:lang w:eastAsia="zh-CN" w:bidi="ar"/>
        </w:rPr>
        <w:t>2025</w:t>
      </w:r>
      <w:r>
        <w:rPr>
          <w:rFonts w:hint="eastAsia" w:ascii="宋体" w:hAnsi="宋体" w:eastAsia="宋体" w:cs="宋体"/>
          <w:sz w:val="24"/>
          <w:szCs w:val="24"/>
          <w:highlight w:val="none"/>
          <w:u w:val="none"/>
          <w:shd w:val="clear" w:color="auto" w:fill="FFFFFF"/>
          <w:lang w:bidi="ar"/>
        </w:rPr>
        <w:t>年</w:t>
      </w:r>
      <w:r>
        <w:rPr>
          <w:rFonts w:hint="eastAsia" w:ascii="宋体" w:hAnsi="宋体" w:eastAsia="宋体" w:cs="宋体"/>
          <w:sz w:val="24"/>
          <w:szCs w:val="24"/>
          <w:highlight w:val="none"/>
          <w:u w:val="none"/>
          <w:shd w:val="clear" w:color="auto" w:fill="FFFFFF"/>
          <w:lang w:val="en-US" w:eastAsia="zh-CN" w:bidi="ar"/>
        </w:rPr>
        <w:t>4</w:t>
      </w:r>
      <w:r>
        <w:rPr>
          <w:rFonts w:hint="eastAsia" w:ascii="宋体" w:hAnsi="宋体" w:eastAsia="宋体" w:cs="宋体"/>
          <w:sz w:val="24"/>
          <w:szCs w:val="24"/>
          <w:highlight w:val="none"/>
          <w:u w:val="none"/>
          <w:shd w:val="clear" w:color="auto" w:fill="FFFFFF"/>
          <w:lang w:bidi="ar"/>
        </w:rPr>
        <w:t>月</w:t>
      </w:r>
      <w:r>
        <w:rPr>
          <w:rFonts w:hint="eastAsia" w:ascii="宋体" w:hAnsi="宋体" w:eastAsia="宋体" w:cs="宋体"/>
          <w:sz w:val="24"/>
          <w:szCs w:val="24"/>
          <w:highlight w:val="none"/>
          <w:u w:val="none"/>
          <w:shd w:val="clear" w:color="auto" w:fill="FFFFFF"/>
          <w:lang w:val="en-US" w:eastAsia="zh-CN" w:bidi="ar"/>
        </w:rPr>
        <w:t>7</w:t>
      </w:r>
      <w:r>
        <w:rPr>
          <w:rFonts w:hint="eastAsia" w:ascii="宋体" w:hAnsi="宋体" w:eastAsia="宋体" w:cs="宋体"/>
          <w:sz w:val="24"/>
          <w:szCs w:val="24"/>
          <w:highlight w:val="none"/>
          <w:u w:val="none"/>
          <w:shd w:val="clear" w:color="auto" w:fill="FFFFFF"/>
          <w:lang w:bidi="ar"/>
        </w:rPr>
        <w:t>日</w:t>
      </w:r>
    </w:p>
    <w:p w14:paraId="6592B4EB">
      <w:pPr>
        <w:widowControl/>
        <w:wordWrap w:val="0"/>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bidi="ar"/>
        </w:rPr>
        <w:t>地点：</w:t>
      </w:r>
      <w:r>
        <w:rPr>
          <w:rFonts w:hint="eastAsia" w:ascii="宋体" w:hAnsi="宋体" w:eastAsia="宋体" w:cs="宋体"/>
          <w:sz w:val="24"/>
          <w:szCs w:val="24"/>
          <w:highlight w:val="none"/>
          <w:shd w:val="clear" w:color="auto" w:fill="FFFFFF"/>
          <w:lang w:eastAsia="zh-CN" w:bidi="ar"/>
        </w:rPr>
        <w:t>滁州市妇幼保健计划生育服务中心网站</w:t>
      </w:r>
    </w:p>
    <w:p w14:paraId="77F7983B">
      <w:pPr>
        <w:widowControl/>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lang w:bidi="ar"/>
        </w:rPr>
        <w:t>方式：网上下载</w:t>
      </w:r>
    </w:p>
    <w:p w14:paraId="1B991766">
      <w:pPr>
        <w:widowControl/>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lang w:bidi="ar"/>
        </w:rPr>
        <w:t>售价：0元</w:t>
      </w:r>
    </w:p>
    <w:p w14:paraId="403DC08C">
      <w:pPr>
        <w:pStyle w:val="20"/>
        <w:wordWrap w:val="0"/>
        <w:spacing w:before="0" w:beforeAutospacing="0" w:after="0" w:afterAutospacing="0" w:line="360" w:lineRule="auto"/>
        <w:rPr>
          <w:rFonts w:hint="eastAsia" w:ascii="宋体" w:hAnsi="宋体" w:eastAsia="宋体" w:cs="宋体"/>
          <w:b/>
          <w:bCs/>
          <w:szCs w:val="24"/>
          <w:highlight w:val="none"/>
          <w:shd w:val="clear" w:color="auto" w:fill="FFFFFF"/>
        </w:rPr>
      </w:pPr>
      <w:bookmarkStart w:id="10" w:name="_Toc17340"/>
      <w:bookmarkStart w:id="11" w:name="_Toc27078"/>
      <w:bookmarkStart w:id="12" w:name="_Toc3403"/>
      <w:r>
        <w:rPr>
          <w:rFonts w:hint="eastAsia" w:ascii="宋体" w:hAnsi="宋体" w:eastAsia="宋体" w:cs="宋体"/>
          <w:b/>
          <w:bCs/>
          <w:szCs w:val="24"/>
          <w:highlight w:val="none"/>
          <w:shd w:val="clear" w:color="auto" w:fill="FFFFFF"/>
        </w:rPr>
        <w:t>四、提交投标文件截止时间、开标时间和地点</w:t>
      </w:r>
      <w:bookmarkEnd w:id="10"/>
      <w:bookmarkEnd w:id="11"/>
      <w:bookmarkEnd w:id="12"/>
    </w:p>
    <w:p w14:paraId="523BB0D3">
      <w:pPr>
        <w:wordWrap w:val="0"/>
        <w:spacing w:line="360" w:lineRule="auto"/>
        <w:ind w:firstLine="480" w:firstLineChars="200"/>
        <w:rPr>
          <w:rFonts w:hint="eastAsia" w:ascii="宋体" w:hAnsi="宋体" w:eastAsia="宋体" w:cs="宋体"/>
          <w:sz w:val="24"/>
          <w:szCs w:val="24"/>
          <w:highlight w:val="none"/>
          <w:shd w:val="clear" w:color="auto" w:fill="FFFFFF"/>
          <w:lang w:bidi="ar"/>
        </w:rPr>
      </w:pPr>
      <w:r>
        <w:rPr>
          <w:rFonts w:hint="eastAsia" w:ascii="宋体" w:hAnsi="宋体" w:eastAsia="宋体" w:cs="宋体"/>
          <w:sz w:val="24"/>
          <w:szCs w:val="24"/>
          <w:highlight w:val="none"/>
          <w:u w:val="none"/>
          <w:shd w:val="clear" w:color="auto" w:fill="FFFFFF"/>
          <w:lang w:eastAsia="zh-CN" w:bidi="ar"/>
        </w:rPr>
        <w:t>2025</w:t>
      </w:r>
      <w:r>
        <w:rPr>
          <w:rFonts w:hint="eastAsia" w:ascii="宋体" w:hAnsi="宋体" w:eastAsia="宋体" w:cs="宋体"/>
          <w:sz w:val="24"/>
          <w:szCs w:val="24"/>
          <w:highlight w:val="none"/>
          <w:u w:val="none"/>
          <w:shd w:val="clear" w:color="auto" w:fill="FFFFFF"/>
          <w:lang w:bidi="ar"/>
        </w:rPr>
        <w:t>年</w:t>
      </w:r>
      <w:r>
        <w:rPr>
          <w:rFonts w:hint="eastAsia" w:ascii="宋体" w:hAnsi="宋体" w:eastAsia="宋体" w:cs="宋体"/>
          <w:sz w:val="24"/>
          <w:szCs w:val="24"/>
          <w:highlight w:val="none"/>
          <w:u w:val="none"/>
          <w:shd w:val="clear" w:color="auto" w:fill="FFFFFF"/>
          <w:lang w:val="en-US" w:eastAsia="zh-CN" w:bidi="ar"/>
        </w:rPr>
        <w:t>4</w:t>
      </w:r>
      <w:r>
        <w:rPr>
          <w:rFonts w:hint="eastAsia" w:ascii="宋体" w:hAnsi="宋体" w:eastAsia="宋体" w:cs="宋体"/>
          <w:sz w:val="24"/>
          <w:szCs w:val="24"/>
          <w:highlight w:val="none"/>
          <w:u w:val="none"/>
          <w:shd w:val="clear" w:color="auto" w:fill="FFFFFF"/>
          <w:lang w:bidi="ar"/>
        </w:rPr>
        <w:t>月</w:t>
      </w:r>
      <w:r>
        <w:rPr>
          <w:rFonts w:hint="eastAsia" w:ascii="宋体" w:hAnsi="宋体" w:eastAsia="宋体" w:cs="宋体"/>
          <w:sz w:val="24"/>
          <w:szCs w:val="24"/>
          <w:highlight w:val="none"/>
          <w:u w:val="none"/>
          <w:shd w:val="clear" w:color="auto" w:fill="FFFFFF"/>
          <w:lang w:val="en-US" w:eastAsia="zh-CN" w:bidi="ar"/>
        </w:rPr>
        <w:t>7</w:t>
      </w:r>
      <w:r>
        <w:rPr>
          <w:rFonts w:hint="eastAsia" w:ascii="宋体" w:hAnsi="宋体" w:eastAsia="宋体" w:cs="宋体"/>
          <w:sz w:val="24"/>
          <w:szCs w:val="24"/>
          <w:highlight w:val="none"/>
          <w:u w:val="none"/>
          <w:shd w:val="clear" w:color="auto" w:fill="FFFFFF"/>
          <w:lang w:bidi="ar"/>
        </w:rPr>
        <w:t>日</w:t>
      </w:r>
      <w:r>
        <w:rPr>
          <w:rFonts w:hint="eastAsia" w:ascii="宋体" w:hAnsi="宋体" w:eastAsia="宋体" w:cs="宋体"/>
          <w:sz w:val="24"/>
          <w:szCs w:val="24"/>
          <w:highlight w:val="none"/>
          <w:u w:val="none"/>
          <w:shd w:val="clear" w:color="auto" w:fill="FFFFFF"/>
          <w:lang w:val="en-US" w:eastAsia="zh-CN" w:bidi="ar"/>
        </w:rPr>
        <w:t>15</w:t>
      </w:r>
      <w:r>
        <w:rPr>
          <w:rFonts w:hint="eastAsia" w:ascii="宋体" w:hAnsi="宋体" w:eastAsia="宋体" w:cs="宋体"/>
          <w:sz w:val="24"/>
          <w:szCs w:val="24"/>
          <w:highlight w:val="none"/>
          <w:u w:val="none"/>
          <w:shd w:val="clear" w:color="auto" w:fill="FFFFFF"/>
          <w:lang w:bidi="ar"/>
        </w:rPr>
        <w:t>点00分</w:t>
      </w:r>
      <w:r>
        <w:rPr>
          <w:rFonts w:hint="eastAsia" w:ascii="宋体" w:hAnsi="宋体" w:eastAsia="宋体" w:cs="宋体"/>
          <w:sz w:val="24"/>
          <w:szCs w:val="24"/>
          <w:highlight w:val="none"/>
          <w:shd w:val="clear" w:color="auto" w:fill="FFFFFF"/>
          <w:lang w:bidi="ar"/>
        </w:rPr>
        <w:t>（北京时间）</w:t>
      </w:r>
    </w:p>
    <w:p w14:paraId="406B110D">
      <w:pPr>
        <w:widowControl/>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lang w:bidi="ar"/>
        </w:rPr>
        <w:t>地点：</w:t>
      </w:r>
      <w:r>
        <w:rPr>
          <w:rFonts w:hint="eastAsia" w:ascii="宋体" w:hAnsi="宋体" w:eastAsia="宋体" w:cs="宋体"/>
          <w:sz w:val="24"/>
          <w:szCs w:val="24"/>
          <w:highlight w:val="none"/>
          <w:shd w:val="clear" w:color="auto" w:fill="FFFFFF"/>
          <w:lang w:eastAsia="zh-CN" w:bidi="ar"/>
        </w:rPr>
        <w:t>滁州市</w:t>
      </w:r>
      <w:r>
        <w:rPr>
          <w:rFonts w:hint="eastAsia" w:ascii="宋体" w:hAnsi="宋体" w:eastAsia="宋体" w:cs="宋体"/>
          <w:sz w:val="24"/>
          <w:szCs w:val="24"/>
          <w:highlight w:val="none"/>
          <w:shd w:val="clear" w:color="auto" w:fill="FFFFFF"/>
          <w:lang w:val="en-US" w:eastAsia="zh-CN" w:bidi="ar"/>
        </w:rPr>
        <w:t>妇幼保健计划生育服务中心6</w:t>
      </w:r>
      <w:r>
        <w:rPr>
          <w:rFonts w:hint="eastAsia" w:ascii="宋体" w:hAnsi="宋体" w:eastAsia="宋体" w:cs="宋体"/>
          <w:sz w:val="24"/>
          <w:szCs w:val="24"/>
          <w:highlight w:val="none"/>
          <w:shd w:val="clear" w:color="auto" w:fill="FFFFFF"/>
          <w:lang w:eastAsia="zh-CN" w:bidi="ar"/>
        </w:rPr>
        <w:t>楼</w:t>
      </w:r>
      <w:r>
        <w:rPr>
          <w:rFonts w:hint="eastAsia" w:ascii="宋体" w:hAnsi="宋体" w:eastAsia="宋体" w:cs="宋体"/>
          <w:sz w:val="24"/>
          <w:szCs w:val="24"/>
          <w:highlight w:val="none"/>
          <w:shd w:val="clear" w:color="auto" w:fill="FFFFFF"/>
          <w:lang w:val="en-US" w:eastAsia="zh-CN" w:bidi="ar"/>
        </w:rPr>
        <w:t>会议室</w:t>
      </w:r>
      <w:r>
        <w:rPr>
          <w:rFonts w:hint="eastAsia" w:ascii="宋体" w:hAnsi="宋体" w:eastAsia="宋体" w:cs="宋体"/>
          <w:sz w:val="24"/>
          <w:szCs w:val="24"/>
          <w:highlight w:val="none"/>
        </w:rPr>
        <w:t>。</w:t>
      </w:r>
    </w:p>
    <w:p w14:paraId="792D70FF">
      <w:pPr>
        <w:pStyle w:val="20"/>
        <w:wordWrap w:val="0"/>
        <w:spacing w:before="0" w:beforeAutospacing="0" w:after="0" w:afterAutospacing="0" w:line="360" w:lineRule="auto"/>
        <w:rPr>
          <w:rFonts w:hint="eastAsia" w:ascii="宋体" w:hAnsi="宋体" w:eastAsia="宋体" w:cs="宋体"/>
          <w:b/>
          <w:bCs/>
          <w:szCs w:val="24"/>
          <w:highlight w:val="none"/>
          <w:shd w:val="clear" w:color="auto" w:fill="FFFFFF"/>
        </w:rPr>
      </w:pPr>
      <w:bookmarkStart w:id="13" w:name="_Toc28669"/>
      <w:bookmarkStart w:id="14" w:name="_Toc32180"/>
      <w:bookmarkStart w:id="15" w:name="_Toc28572"/>
      <w:r>
        <w:rPr>
          <w:rFonts w:hint="eastAsia" w:ascii="宋体" w:hAnsi="宋体" w:eastAsia="宋体" w:cs="宋体"/>
          <w:b/>
          <w:bCs/>
          <w:szCs w:val="24"/>
          <w:highlight w:val="none"/>
          <w:shd w:val="clear" w:color="auto" w:fill="FFFFFF"/>
        </w:rPr>
        <w:t>五、公告期限</w:t>
      </w:r>
      <w:bookmarkEnd w:id="13"/>
      <w:bookmarkEnd w:id="14"/>
      <w:bookmarkEnd w:id="15"/>
    </w:p>
    <w:p w14:paraId="2DCBD433">
      <w:pPr>
        <w:widowControl/>
        <w:wordWrap w:val="0"/>
        <w:spacing w:line="360" w:lineRule="auto"/>
        <w:ind w:firstLine="480" w:firstLineChars="200"/>
        <w:jc w:val="left"/>
        <w:rPr>
          <w:rFonts w:hint="eastAsia" w:ascii="宋体" w:hAnsi="宋体" w:eastAsia="宋体" w:cs="宋体"/>
          <w:sz w:val="24"/>
          <w:szCs w:val="24"/>
          <w:highlight w:val="none"/>
          <w:shd w:val="clear" w:color="auto" w:fill="FFFFFF"/>
          <w:lang w:bidi="ar"/>
        </w:rPr>
      </w:pPr>
      <w:r>
        <w:rPr>
          <w:rFonts w:hint="eastAsia" w:ascii="宋体" w:hAnsi="宋体" w:eastAsia="宋体" w:cs="宋体"/>
          <w:sz w:val="24"/>
          <w:szCs w:val="24"/>
          <w:highlight w:val="none"/>
          <w:shd w:val="clear" w:color="auto" w:fill="FFFFFF"/>
          <w:lang w:bidi="ar"/>
        </w:rPr>
        <w:t>自本公告发布之日起5个工作日。</w:t>
      </w:r>
    </w:p>
    <w:p w14:paraId="1C17D409">
      <w:pPr>
        <w:pStyle w:val="20"/>
        <w:wordWrap w:val="0"/>
        <w:spacing w:before="0" w:beforeAutospacing="0" w:after="0" w:afterAutospacing="0" w:line="360" w:lineRule="auto"/>
        <w:rPr>
          <w:rFonts w:hint="eastAsia" w:ascii="宋体" w:hAnsi="宋体" w:eastAsia="宋体" w:cs="宋体"/>
          <w:b/>
          <w:bCs/>
          <w:szCs w:val="24"/>
          <w:highlight w:val="none"/>
          <w:shd w:val="clear" w:color="auto" w:fill="FFFFFF"/>
        </w:rPr>
      </w:pPr>
      <w:bookmarkStart w:id="16" w:name="_Toc23195"/>
      <w:bookmarkStart w:id="17" w:name="_Toc2292"/>
      <w:bookmarkStart w:id="18" w:name="_Toc25311"/>
      <w:r>
        <w:rPr>
          <w:rFonts w:hint="eastAsia" w:ascii="宋体" w:hAnsi="宋体" w:eastAsia="宋体" w:cs="宋体"/>
          <w:b/>
          <w:bCs/>
          <w:szCs w:val="24"/>
          <w:highlight w:val="none"/>
          <w:shd w:val="clear" w:color="auto" w:fill="FFFFFF"/>
        </w:rPr>
        <w:t>六、投标保证金金额及缴纳账户</w:t>
      </w:r>
      <w:bookmarkEnd w:id="16"/>
      <w:bookmarkEnd w:id="17"/>
      <w:bookmarkEnd w:id="18"/>
    </w:p>
    <w:p w14:paraId="44B88F92">
      <w:pPr>
        <w:widowControl/>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lang w:bidi="ar"/>
        </w:rPr>
        <w:t>是否要求投标人提交投标保证金：不要求。</w:t>
      </w:r>
    </w:p>
    <w:p w14:paraId="120A41EA">
      <w:pPr>
        <w:pStyle w:val="20"/>
        <w:wordWrap w:val="0"/>
        <w:spacing w:before="0" w:beforeAutospacing="0" w:after="0" w:afterAutospacing="0" w:line="360" w:lineRule="auto"/>
        <w:rPr>
          <w:rFonts w:hint="eastAsia" w:ascii="宋体" w:hAnsi="宋体" w:eastAsia="宋体" w:cs="宋体"/>
          <w:b/>
          <w:bCs/>
          <w:szCs w:val="24"/>
          <w:highlight w:val="none"/>
          <w:shd w:val="clear" w:color="auto" w:fill="FFFFFF"/>
        </w:rPr>
      </w:pPr>
      <w:bookmarkStart w:id="19" w:name="_Toc16972"/>
      <w:bookmarkStart w:id="20" w:name="_Toc26702"/>
      <w:bookmarkStart w:id="21" w:name="_Toc922"/>
      <w:r>
        <w:rPr>
          <w:rFonts w:hint="eastAsia" w:ascii="宋体" w:hAnsi="宋体" w:eastAsia="宋体" w:cs="宋体"/>
          <w:b/>
          <w:bCs/>
          <w:szCs w:val="24"/>
          <w:highlight w:val="none"/>
          <w:shd w:val="clear" w:color="auto" w:fill="FFFFFF"/>
        </w:rPr>
        <w:t>七、其他补充事宜</w:t>
      </w:r>
      <w:bookmarkEnd w:id="19"/>
      <w:bookmarkEnd w:id="20"/>
      <w:bookmarkEnd w:id="21"/>
    </w:p>
    <w:p w14:paraId="46F9F94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无</w:t>
      </w:r>
      <w:r>
        <w:rPr>
          <w:rFonts w:hint="eastAsia" w:ascii="宋体" w:hAnsi="宋体" w:eastAsia="宋体" w:cs="宋体"/>
          <w:sz w:val="24"/>
          <w:szCs w:val="24"/>
          <w:highlight w:val="none"/>
        </w:rPr>
        <w:t>。</w:t>
      </w:r>
    </w:p>
    <w:p w14:paraId="4B291BAC">
      <w:pPr>
        <w:pStyle w:val="20"/>
        <w:wordWrap w:val="0"/>
        <w:spacing w:before="0" w:beforeAutospacing="0" w:after="0" w:afterAutospacing="0" w:line="360" w:lineRule="auto"/>
        <w:rPr>
          <w:rFonts w:hint="eastAsia" w:ascii="宋体" w:hAnsi="宋体" w:eastAsia="宋体" w:cs="宋体"/>
          <w:b/>
          <w:bCs/>
          <w:szCs w:val="24"/>
          <w:highlight w:val="none"/>
          <w:shd w:val="clear" w:color="auto" w:fill="FFFFFF"/>
        </w:rPr>
      </w:pPr>
      <w:r>
        <w:rPr>
          <w:rFonts w:hint="eastAsia" w:ascii="宋体" w:hAnsi="宋体" w:eastAsia="宋体" w:cs="宋体"/>
          <w:b/>
          <w:bCs/>
          <w:szCs w:val="24"/>
          <w:highlight w:val="none"/>
          <w:shd w:val="clear" w:color="auto" w:fill="FFFFFF"/>
        </w:rPr>
        <w:t>八、</w:t>
      </w:r>
      <w:bookmarkEnd w:id="2"/>
      <w:r>
        <w:rPr>
          <w:rFonts w:hint="eastAsia" w:ascii="宋体" w:hAnsi="宋体" w:eastAsia="宋体" w:cs="宋体"/>
          <w:b/>
          <w:bCs/>
          <w:szCs w:val="24"/>
          <w:highlight w:val="none"/>
          <w:shd w:val="clear" w:color="auto" w:fill="FFFFFF"/>
        </w:rPr>
        <w:t>对本次招标提出询问，请按以下方式联系</w:t>
      </w:r>
      <w:bookmarkEnd w:id="3"/>
    </w:p>
    <w:p w14:paraId="2129568D">
      <w:pPr>
        <w:spacing w:line="360" w:lineRule="auto"/>
        <w:ind w:firstLine="437"/>
        <w:outlineLvl w:val="2"/>
        <w:rPr>
          <w:rFonts w:hint="eastAsia" w:ascii="宋体" w:hAnsi="宋体" w:eastAsia="宋体"/>
          <w:sz w:val="24"/>
          <w:szCs w:val="18"/>
          <w:highlight w:val="none"/>
        </w:rPr>
      </w:pPr>
      <w:r>
        <w:rPr>
          <w:rFonts w:hint="eastAsia" w:ascii="宋体" w:hAnsi="宋体" w:eastAsia="宋体"/>
          <w:sz w:val="24"/>
          <w:szCs w:val="18"/>
          <w:highlight w:val="none"/>
        </w:rPr>
        <w:t>1.采购人信息</w:t>
      </w:r>
    </w:p>
    <w:p w14:paraId="4E129BA2">
      <w:pPr>
        <w:spacing w:line="360" w:lineRule="auto"/>
        <w:ind w:firstLine="435"/>
        <w:rPr>
          <w:rFonts w:hint="eastAsia" w:ascii="宋体" w:hAnsi="宋体" w:eastAsia="宋体"/>
          <w:sz w:val="24"/>
          <w:szCs w:val="18"/>
          <w:highlight w:val="none"/>
          <w:lang w:eastAsia="zh-CN"/>
        </w:rPr>
      </w:pPr>
      <w:r>
        <w:rPr>
          <w:rFonts w:hint="eastAsia" w:ascii="宋体" w:hAnsi="宋体" w:eastAsia="宋体"/>
          <w:sz w:val="24"/>
          <w:szCs w:val="18"/>
          <w:highlight w:val="none"/>
        </w:rPr>
        <w:t>名 称：</w:t>
      </w:r>
      <w:r>
        <w:rPr>
          <w:rFonts w:hint="eastAsia" w:ascii="宋体" w:hAnsi="宋体" w:eastAsia="宋体"/>
          <w:sz w:val="24"/>
          <w:szCs w:val="18"/>
          <w:highlight w:val="none"/>
          <w:u w:val="single"/>
          <w:lang w:eastAsia="zh-CN"/>
        </w:rPr>
        <w:t>滁州市妇幼保健计划生育服务中心</w:t>
      </w:r>
    </w:p>
    <w:p w14:paraId="1D2D7456">
      <w:pPr>
        <w:spacing w:line="360" w:lineRule="auto"/>
        <w:ind w:firstLine="435"/>
        <w:rPr>
          <w:rFonts w:hint="eastAsia" w:ascii="宋体" w:hAnsi="宋体" w:eastAsia="宋体"/>
          <w:sz w:val="24"/>
          <w:szCs w:val="18"/>
          <w:highlight w:val="none"/>
          <w:u w:val="single"/>
          <w:lang w:eastAsia="zh-CN"/>
        </w:rPr>
      </w:pPr>
      <w:r>
        <w:rPr>
          <w:rFonts w:hint="eastAsia" w:ascii="宋体" w:hAnsi="宋体" w:eastAsia="宋体"/>
          <w:sz w:val="24"/>
          <w:szCs w:val="18"/>
          <w:highlight w:val="none"/>
        </w:rPr>
        <w:t>地 址：</w:t>
      </w:r>
      <w:r>
        <w:rPr>
          <w:rFonts w:hint="eastAsia" w:ascii="宋体" w:hAnsi="宋体" w:eastAsia="宋体"/>
          <w:sz w:val="24"/>
          <w:szCs w:val="18"/>
          <w:highlight w:val="none"/>
          <w:u w:val="single"/>
          <w:lang w:eastAsia="zh-CN"/>
        </w:rPr>
        <w:t>滁州市南谯区</w:t>
      </w:r>
      <w:r>
        <w:rPr>
          <w:rFonts w:hint="eastAsia" w:ascii="宋体" w:hAnsi="宋体" w:eastAsia="宋体" w:cs="@仿宋_GB2312"/>
          <w:sz w:val="24"/>
          <w:szCs w:val="18"/>
          <w:highlight w:val="none"/>
          <w:u w:val="single"/>
          <w:lang w:eastAsia="zh-CN"/>
        </w:rPr>
        <w:t>醉翁西路</w:t>
      </w:r>
      <w:r>
        <w:rPr>
          <w:rFonts w:hint="eastAsia" w:ascii="宋体" w:hAnsi="宋体" w:eastAsia="宋体" w:cs="@仿宋_GB2312"/>
          <w:sz w:val="24"/>
          <w:szCs w:val="18"/>
          <w:highlight w:val="none"/>
          <w:u w:val="single"/>
          <w:lang w:val="en-US" w:eastAsia="zh-CN"/>
        </w:rPr>
        <w:t>105</w:t>
      </w:r>
      <w:r>
        <w:rPr>
          <w:rFonts w:hint="eastAsia" w:ascii="宋体" w:hAnsi="宋体" w:eastAsia="宋体"/>
          <w:sz w:val="24"/>
          <w:szCs w:val="18"/>
          <w:highlight w:val="none"/>
          <w:u w:val="single"/>
          <w:lang w:eastAsia="zh-CN"/>
        </w:rPr>
        <w:t>号</w:t>
      </w:r>
    </w:p>
    <w:p w14:paraId="1B4E9ED0">
      <w:pPr>
        <w:spacing w:line="360" w:lineRule="auto"/>
        <w:ind w:firstLine="435"/>
        <w:rPr>
          <w:rFonts w:hint="eastAsia" w:ascii="宋体" w:hAnsi="宋体" w:eastAsia="宋体"/>
          <w:sz w:val="24"/>
          <w:szCs w:val="18"/>
          <w:highlight w:val="none"/>
          <w:u w:val="single"/>
          <w:lang w:eastAsia="zh-CN"/>
        </w:rPr>
      </w:pPr>
      <w:r>
        <w:rPr>
          <w:rFonts w:hint="eastAsia" w:ascii="宋体" w:hAnsi="宋体" w:eastAsia="宋体"/>
          <w:sz w:val="24"/>
          <w:szCs w:val="18"/>
          <w:highlight w:val="none"/>
        </w:rPr>
        <w:t>联系人：</w:t>
      </w:r>
      <w:r>
        <w:rPr>
          <w:rFonts w:hint="eastAsia" w:ascii="宋体" w:hAnsi="宋体" w:eastAsia="宋体"/>
          <w:sz w:val="24"/>
          <w:szCs w:val="18"/>
          <w:highlight w:val="none"/>
          <w:u w:val="single"/>
          <w:lang w:eastAsia="zh-CN"/>
        </w:rPr>
        <w:t>刁文婷</w:t>
      </w:r>
    </w:p>
    <w:p w14:paraId="3D36703C">
      <w:pPr>
        <w:spacing w:line="360" w:lineRule="auto"/>
        <w:ind w:firstLine="435"/>
        <w:rPr>
          <w:rFonts w:hint="eastAsia" w:ascii="宋体" w:hAnsi="宋体" w:eastAsia="宋体"/>
          <w:sz w:val="24"/>
          <w:szCs w:val="18"/>
          <w:highlight w:val="none"/>
          <w:lang w:eastAsia="zh-CN"/>
        </w:rPr>
      </w:pPr>
      <w:r>
        <w:rPr>
          <w:rFonts w:hint="eastAsia" w:ascii="宋体" w:hAnsi="宋体" w:eastAsia="宋体"/>
          <w:sz w:val="24"/>
          <w:szCs w:val="18"/>
          <w:highlight w:val="none"/>
        </w:rPr>
        <w:t>联系方式：</w:t>
      </w:r>
      <w:r>
        <w:rPr>
          <w:rFonts w:hint="eastAsia" w:ascii="宋体" w:hAnsi="宋体" w:eastAsia="宋体"/>
          <w:sz w:val="24"/>
          <w:szCs w:val="18"/>
          <w:highlight w:val="none"/>
          <w:u w:val="single"/>
          <w:lang w:eastAsia="zh-CN"/>
        </w:rPr>
        <w:t>0550-3029385</w:t>
      </w:r>
    </w:p>
    <w:p w14:paraId="492DB88D">
      <w:pPr>
        <w:spacing w:line="360" w:lineRule="auto"/>
        <w:ind w:firstLine="437"/>
        <w:outlineLvl w:val="2"/>
        <w:rPr>
          <w:rFonts w:hint="eastAsia" w:ascii="宋体" w:hAnsi="宋体" w:eastAsia="宋体"/>
          <w:sz w:val="24"/>
          <w:szCs w:val="18"/>
          <w:highlight w:val="none"/>
        </w:rPr>
      </w:pPr>
      <w:r>
        <w:rPr>
          <w:rFonts w:ascii="宋体" w:hAnsi="宋体" w:eastAsia="宋体"/>
          <w:sz w:val="24"/>
          <w:szCs w:val="18"/>
          <w:highlight w:val="none"/>
        </w:rPr>
        <w:t>2.采购代理机构</w:t>
      </w:r>
      <w:r>
        <w:rPr>
          <w:rFonts w:hint="eastAsia" w:ascii="宋体" w:hAnsi="宋体" w:eastAsia="宋体"/>
          <w:sz w:val="24"/>
          <w:szCs w:val="18"/>
          <w:highlight w:val="none"/>
        </w:rPr>
        <w:t>信息</w:t>
      </w:r>
    </w:p>
    <w:p w14:paraId="2229E347">
      <w:pPr>
        <w:spacing w:line="360" w:lineRule="auto"/>
        <w:ind w:firstLine="435"/>
        <w:rPr>
          <w:rFonts w:hint="eastAsia" w:ascii="宋体" w:hAnsi="宋体" w:eastAsia="宋体"/>
          <w:sz w:val="24"/>
          <w:szCs w:val="18"/>
          <w:highlight w:val="none"/>
          <w:lang w:eastAsia="zh-CN"/>
        </w:rPr>
      </w:pPr>
      <w:r>
        <w:rPr>
          <w:rFonts w:hint="eastAsia" w:ascii="宋体" w:hAnsi="宋体" w:eastAsia="宋体"/>
          <w:sz w:val="24"/>
          <w:szCs w:val="18"/>
          <w:highlight w:val="none"/>
        </w:rPr>
        <w:t>名 称：</w:t>
      </w:r>
      <w:r>
        <w:rPr>
          <w:rFonts w:hint="eastAsia" w:ascii="宋体" w:hAnsi="宋体" w:eastAsia="宋体"/>
          <w:sz w:val="24"/>
          <w:szCs w:val="18"/>
          <w:highlight w:val="none"/>
          <w:u w:val="single"/>
          <w:lang w:eastAsia="zh-CN"/>
        </w:rPr>
        <w:t>安徽立信项目管理有限公司</w:t>
      </w:r>
    </w:p>
    <w:p w14:paraId="4A25ED58">
      <w:pPr>
        <w:spacing w:line="360" w:lineRule="auto"/>
        <w:ind w:firstLine="435"/>
        <w:rPr>
          <w:rFonts w:hint="eastAsia" w:ascii="宋体" w:hAnsi="宋体" w:eastAsia="宋体"/>
          <w:sz w:val="24"/>
          <w:szCs w:val="18"/>
          <w:highlight w:val="none"/>
          <w:u w:val="single"/>
          <w:lang w:eastAsia="zh-CN"/>
        </w:rPr>
      </w:pPr>
      <w:r>
        <w:rPr>
          <w:rFonts w:hint="eastAsia" w:ascii="宋体" w:hAnsi="宋体" w:eastAsia="宋体"/>
          <w:sz w:val="24"/>
          <w:szCs w:val="18"/>
          <w:highlight w:val="none"/>
        </w:rPr>
        <w:t>地 址：</w:t>
      </w:r>
      <w:r>
        <w:rPr>
          <w:rFonts w:hint="eastAsia" w:ascii="宋体" w:hAnsi="宋体" w:eastAsia="宋体"/>
          <w:sz w:val="24"/>
          <w:szCs w:val="18"/>
          <w:highlight w:val="none"/>
          <w:u w:val="single"/>
          <w:lang w:eastAsia="zh-CN"/>
        </w:rPr>
        <w:t>安徽省滁州市琅琊区创新路1700号（国樾府）S2号楼商业单元102-3室</w:t>
      </w:r>
    </w:p>
    <w:p w14:paraId="799402C5">
      <w:pPr>
        <w:spacing w:line="360" w:lineRule="auto"/>
        <w:ind w:firstLine="435"/>
        <w:rPr>
          <w:rFonts w:hint="eastAsia" w:eastAsia="宋体"/>
          <w:highlight w:val="none"/>
          <w:lang w:eastAsia="zh-CN"/>
        </w:rPr>
      </w:pPr>
      <w:r>
        <w:rPr>
          <w:rFonts w:hint="eastAsia" w:ascii="宋体" w:hAnsi="宋体" w:eastAsia="宋体"/>
          <w:sz w:val="24"/>
          <w:szCs w:val="18"/>
          <w:highlight w:val="none"/>
        </w:rPr>
        <w:t>联系人：</w:t>
      </w:r>
      <w:r>
        <w:rPr>
          <w:rFonts w:hint="eastAsia" w:ascii="宋体" w:hAnsi="宋体" w:eastAsia="宋体"/>
          <w:sz w:val="24"/>
          <w:szCs w:val="18"/>
          <w:highlight w:val="none"/>
          <w:u w:val="single"/>
          <w:lang w:eastAsia="zh-CN"/>
        </w:rPr>
        <w:t>曾辉</w:t>
      </w:r>
    </w:p>
    <w:p w14:paraId="069F00ED">
      <w:pPr>
        <w:spacing w:line="360" w:lineRule="auto"/>
        <w:ind w:firstLine="435"/>
        <w:rPr>
          <w:rFonts w:hint="eastAsia" w:asciiTheme="minorEastAsia" w:hAnsiTheme="minorEastAsia" w:eastAsiaTheme="minorEastAsia"/>
          <w:b/>
          <w:sz w:val="28"/>
          <w:highlight w:val="none"/>
        </w:rPr>
      </w:pPr>
      <w:r>
        <w:rPr>
          <w:rFonts w:hint="eastAsia" w:ascii="宋体" w:hAnsi="宋体" w:eastAsia="宋体"/>
          <w:sz w:val="24"/>
          <w:szCs w:val="18"/>
          <w:highlight w:val="none"/>
        </w:rPr>
        <w:t>联系方式：</w:t>
      </w:r>
      <w:r>
        <w:rPr>
          <w:rFonts w:hint="eastAsia" w:ascii="宋体" w:hAnsi="宋体" w:eastAsia="宋体"/>
          <w:sz w:val="24"/>
          <w:szCs w:val="18"/>
          <w:highlight w:val="none"/>
          <w:u w:val="single"/>
          <w:lang w:eastAsia="zh-CN"/>
        </w:rPr>
        <w:t>18755015380</w:t>
      </w:r>
    </w:p>
    <w:p w14:paraId="6AB93441">
      <w:pPr>
        <w:pageBreakBefore/>
        <w:spacing w:line="360" w:lineRule="auto"/>
        <w:jc w:val="center"/>
        <w:outlineLvl w:val="0"/>
        <w:rPr>
          <w:rFonts w:hint="eastAsia" w:asciiTheme="minorEastAsia" w:hAnsiTheme="minorEastAsia" w:eastAsiaTheme="minorEastAsia"/>
          <w:b/>
          <w:sz w:val="28"/>
          <w:highlight w:val="none"/>
        </w:rPr>
      </w:pPr>
      <w:bookmarkStart w:id="22" w:name="_Toc21555"/>
      <w:r>
        <w:rPr>
          <w:rFonts w:hint="eastAsia" w:asciiTheme="minorEastAsia" w:hAnsiTheme="minorEastAsia" w:eastAsiaTheme="minorEastAsia"/>
          <w:b/>
          <w:sz w:val="28"/>
          <w:highlight w:val="none"/>
        </w:rPr>
        <w:t>第二章</w:t>
      </w:r>
      <w:r>
        <w:rPr>
          <w:rFonts w:asciiTheme="minorEastAsia" w:hAnsiTheme="minorEastAsia" w:eastAsiaTheme="minorEastAsia"/>
          <w:b/>
          <w:sz w:val="28"/>
          <w:highlight w:val="none"/>
        </w:rPr>
        <w:t xml:space="preserve"> </w:t>
      </w:r>
      <w:r>
        <w:rPr>
          <w:rFonts w:hint="eastAsia" w:asciiTheme="minorEastAsia" w:hAnsiTheme="minorEastAsia" w:eastAsiaTheme="minorEastAsia"/>
          <w:b/>
          <w:sz w:val="28"/>
          <w:highlight w:val="none"/>
        </w:rPr>
        <w:t xml:space="preserve"> </w:t>
      </w:r>
      <w:r>
        <w:rPr>
          <w:rFonts w:asciiTheme="minorEastAsia" w:hAnsiTheme="minorEastAsia" w:eastAsiaTheme="minorEastAsia"/>
          <w:b/>
          <w:sz w:val="28"/>
          <w:highlight w:val="none"/>
        </w:rPr>
        <w:t>投标人须知</w:t>
      </w:r>
      <w:bookmarkEnd w:id="22"/>
    </w:p>
    <w:p w14:paraId="7CA04397">
      <w:pPr>
        <w:spacing w:line="360" w:lineRule="auto"/>
        <w:jc w:val="center"/>
        <w:outlineLvl w:val="1"/>
        <w:rPr>
          <w:rFonts w:hint="eastAsia" w:asciiTheme="minorEastAsia" w:hAnsiTheme="minorEastAsia" w:eastAsiaTheme="minorEastAsia"/>
          <w:b/>
          <w:sz w:val="24"/>
          <w:highlight w:val="none"/>
        </w:rPr>
      </w:pPr>
      <w:bookmarkStart w:id="23" w:name="_Toc7178"/>
      <w:bookmarkStart w:id="24" w:name="_Toc16403"/>
      <w:bookmarkStart w:id="25" w:name="_Toc3114"/>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投标人须知前附表</w:t>
      </w:r>
      <w:bookmarkEnd w:id="23"/>
      <w:bookmarkEnd w:id="24"/>
      <w:bookmarkEnd w:id="25"/>
    </w:p>
    <w:p w14:paraId="5C24EE03">
      <w:pPr>
        <w:spacing w:line="360" w:lineRule="auto"/>
        <w:ind w:firstLine="435"/>
        <w:rPr>
          <w:rFonts w:hint="eastAsia"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本表是本项目的具体要求，是对投标人须知的具体补充和修改，如有不一致，以本表为准。</w:t>
      </w:r>
    </w:p>
    <w:tbl>
      <w:tblPr>
        <w:tblStyle w:val="25"/>
        <w:tblW w:w="55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114"/>
        <w:gridCol w:w="7064"/>
      </w:tblGrid>
      <w:tr w14:paraId="24BD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7A440659">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bCs w:val="0"/>
                <w:kern w:val="2"/>
                <w:sz w:val="24"/>
                <w:szCs w:val="20"/>
                <w:highlight w:val="none"/>
              </w:rPr>
            </w:pPr>
            <w:r>
              <w:rPr>
                <w:rFonts w:hint="eastAsia" w:ascii="宋体" w:hAnsi="宋体" w:eastAsia="宋体"/>
                <w:bCs w:val="0"/>
                <w:kern w:val="2"/>
                <w:sz w:val="24"/>
                <w:szCs w:val="20"/>
                <w:highlight w:val="none"/>
              </w:rPr>
              <w:t>条款号</w:t>
            </w:r>
          </w:p>
        </w:tc>
        <w:tc>
          <w:tcPr>
            <w:tcW w:w="1034" w:type="pct"/>
            <w:vAlign w:val="center"/>
          </w:tcPr>
          <w:p w14:paraId="282C3CB8">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bCs w:val="0"/>
                <w:kern w:val="2"/>
                <w:sz w:val="24"/>
                <w:szCs w:val="20"/>
                <w:highlight w:val="none"/>
              </w:rPr>
            </w:pPr>
            <w:r>
              <w:rPr>
                <w:rFonts w:hint="eastAsia" w:ascii="宋体" w:hAnsi="宋体" w:eastAsia="宋体"/>
                <w:bCs w:val="0"/>
                <w:kern w:val="2"/>
                <w:sz w:val="24"/>
                <w:szCs w:val="20"/>
                <w:highlight w:val="none"/>
              </w:rPr>
              <w:t>条款名称</w:t>
            </w:r>
          </w:p>
        </w:tc>
        <w:tc>
          <w:tcPr>
            <w:tcW w:w="3455" w:type="pct"/>
            <w:vAlign w:val="center"/>
          </w:tcPr>
          <w:p w14:paraId="5982D269">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bCs w:val="0"/>
                <w:kern w:val="2"/>
                <w:sz w:val="24"/>
                <w:szCs w:val="20"/>
                <w:highlight w:val="none"/>
              </w:rPr>
            </w:pPr>
            <w:r>
              <w:rPr>
                <w:rFonts w:hint="eastAsia" w:ascii="宋体" w:hAnsi="宋体" w:eastAsia="宋体"/>
                <w:bCs w:val="0"/>
                <w:kern w:val="2"/>
                <w:sz w:val="24"/>
                <w:szCs w:val="20"/>
                <w:highlight w:val="none"/>
              </w:rPr>
              <w:t>内容、说明与要求</w:t>
            </w:r>
          </w:p>
        </w:tc>
      </w:tr>
      <w:tr w14:paraId="3BA0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7C35CCA8">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5</w:t>
            </w:r>
            <w:r>
              <w:rPr>
                <w:rFonts w:ascii="宋体" w:hAnsi="宋体" w:eastAsia="宋体"/>
                <w:bCs/>
                <w:kern w:val="2"/>
                <w:highlight w:val="none"/>
              </w:rPr>
              <w:t>.</w:t>
            </w:r>
            <w:r>
              <w:rPr>
                <w:rFonts w:hint="eastAsia" w:ascii="宋体" w:hAnsi="宋体" w:eastAsia="宋体"/>
                <w:bCs/>
                <w:kern w:val="2"/>
                <w:highlight w:val="none"/>
              </w:rPr>
              <w:t>2</w:t>
            </w:r>
          </w:p>
        </w:tc>
        <w:tc>
          <w:tcPr>
            <w:tcW w:w="1034" w:type="pct"/>
            <w:vAlign w:val="center"/>
          </w:tcPr>
          <w:p w14:paraId="46B53416">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left"/>
              <w:textAlignment w:val="auto"/>
              <w:rPr>
                <w:rFonts w:hint="eastAsia" w:ascii="宋体" w:hAnsi="宋体" w:eastAsia="宋体"/>
                <w:b w:val="0"/>
                <w:sz w:val="24"/>
                <w:highlight w:val="none"/>
              </w:rPr>
            </w:pPr>
            <w:r>
              <w:rPr>
                <w:rFonts w:hint="eastAsia" w:ascii="宋体" w:hAnsi="宋体" w:eastAsia="宋体"/>
                <w:b w:val="0"/>
                <w:sz w:val="24"/>
                <w:highlight w:val="none"/>
              </w:rPr>
              <w:t>现场考察或标前答疑会</w:t>
            </w:r>
          </w:p>
        </w:tc>
        <w:tc>
          <w:tcPr>
            <w:tcW w:w="3455" w:type="pct"/>
            <w:vAlign w:val="center"/>
          </w:tcPr>
          <w:p w14:paraId="15EAE73B">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b w:val="0"/>
                <w:sz w:val="24"/>
                <w:highlight w:val="none"/>
              </w:rPr>
            </w:pPr>
            <w:r>
              <w:rPr>
                <w:rFonts w:hint="eastAsia" w:ascii="宋体" w:hAnsi="宋体" w:eastAsia="宋体"/>
                <w:sz w:val="24"/>
                <w:highlight w:val="none"/>
              </w:rPr>
              <w:t>不组织或不召开</w:t>
            </w:r>
          </w:p>
        </w:tc>
      </w:tr>
      <w:tr w14:paraId="2BA3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17152B54">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6</w:t>
            </w:r>
            <w:r>
              <w:rPr>
                <w:rFonts w:ascii="宋体" w:hAnsi="宋体" w:eastAsia="宋体"/>
                <w:bCs/>
                <w:kern w:val="2"/>
                <w:highlight w:val="none"/>
              </w:rPr>
              <w:t>.1</w:t>
            </w:r>
          </w:p>
        </w:tc>
        <w:tc>
          <w:tcPr>
            <w:tcW w:w="1034" w:type="pct"/>
            <w:vAlign w:val="center"/>
          </w:tcPr>
          <w:p w14:paraId="51400A7F">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left"/>
              <w:textAlignment w:val="auto"/>
              <w:rPr>
                <w:rFonts w:hint="eastAsia" w:ascii="宋体" w:hAnsi="宋体" w:eastAsia="宋体"/>
                <w:b w:val="0"/>
                <w:sz w:val="24"/>
                <w:highlight w:val="none"/>
              </w:rPr>
            </w:pPr>
            <w:r>
              <w:rPr>
                <w:rFonts w:hint="eastAsia" w:ascii="宋体" w:hAnsi="宋体" w:eastAsia="宋体"/>
                <w:b w:val="0"/>
                <w:sz w:val="24"/>
                <w:highlight w:val="none"/>
              </w:rPr>
              <w:t>网上询问截止时间</w:t>
            </w:r>
          </w:p>
        </w:tc>
        <w:tc>
          <w:tcPr>
            <w:tcW w:w="3455" w:type="pct"/>
            <w:vAlign w:val="center"/>
          </w:tcPr>
          <w:p w14:paraId="7F875538">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u w:val="single"/>
                <w:lang w:eastAsia="zh-CN"/>
              </w:rPr>
              <w:t>2025</w:t>
            </w:r>
            <w:r>
              <w:rPr>
                <w:rFonts w:ascii="宋体" w:hAnsi="宋体" w:eastAsia="宋体"/>
                <w:b w:val="0"/>
                <w:sz w:val="24"/>
                <w:highlight w:val="none"/>
                <w:u w:val="single"/>
              </w:rPr>
              <w:t xml:space="preserve"> </w:t>
            </w:r>
            <w:r>
              <w:rPr>
                <w:rFonts w:ascii="宋体" w:hAnsi="宋体" w:eastAsia="宋体"/>
                <w:b w:val="0"/>
                <w:sz w:val="24"/>
                <w:highlight w:val="none"/>
              </w:rPr>
              <w:t>年</w:t>
            </w:r>
            <w:r>
              <w:rPr>
                <w:rFonts w:hint="eastAsia" w:ascii="宋体" w:hAnsi="宋体" w:eastAsia="宋体"/>
                <w:b w:val="0"/>
                <w:sz w:val="24"/>
                <w:highlight w:val="none"/>
                <w:u w:val="single"/>
                <w:lang w:val="en-US" w:eastAsia="zh-CN"/>
              </w:rPr>
              <w:t>3</w:t>
            </w:r>
            <w:r>
              <w:rPr>
                <w:rFonts w:ascii="宋体" w:hAnsi="宋体" w:eastAsia="宋体"/>
                <w:b w:val="0"/>
                <w:sz w:val="24"/>
                <w:highlight w:val="none"/>
              </w:rPr>
              <w:t>月</w:t>
            </w:r>
            <w:r>
              <w:rPr>
                <w:rFonts w:hint="eastAsia" w:ascii="宋体" w:hAnsi="宋体" w:eastAsia="宋体"/>
                <w:b w:val="0"/>
                <w:sz w:val="24"/>
                <w:highlight w:val="none"/>
                <w:u w:val="single"/>
                <w:lang w:val="en-US" w:eastAsia="zh-CN"/>
              </w:rPr>
              <w:t>25</w:t>
            </w:r>
            <w:r>
              <w:rPr>
                <w:rFonts w:ascii="宋体" w:hAnsi="宋体" w:eastAsia="宋体"/>
                <w:b w:val="0"/>
                <w:sz w:val="24"/>
                <w:highlight w:val="none"/>
              </w:rPr>
              <w:t>日</w:t>
            </w:r>
            <w:r>
              <w:rPr>
                <w:rFonts w:ascii="宋体" w:hAnsi="宋体" w:eastAsia="宋体"/>
                <w:b w:val="0"/>
                <w:sz w:val="24"/>
                <w:highlight w:val="none"/>
                <w:u w:val="single"/>
              </w:rPr>
              <w:t xml:space="preserve"> </w:t>
            </w:r>
            <w:r>
              <w:rPr>
                <w:rFonts w:hint="eastAsia" w:ascii="宋体" w:hAnsi="宋体" w:eastAsia="宋体"/>
                <w:b w:val="0"/>
                <w:sz w:val="24"/>
                <w:highlight w:val="none"/>
                <w:u w:val="single"/>
              </w:rPr>
              <w:t>17</w:t>
            </w:r>
            <w:r>
              <w:rPr>
                <w:rFonts w:ascii="宋体" w:hAnsi="宋体" w:eastAsia="宋体"/>
                <w:b w:val="0"/>
                <w:sz w:val="24"/>
                <w:highlight w:val="none"/>
              </w:rPr>
              <w:t>时</w:t>
            </w:r>
            <w:r>
              <w:rPr>
                <w:rFonts w:ascii="宋体" w:hAnsi="宋体" w:eastAsia="宋体"/>
                <w:b w:val="0"/>
                <w:sz w:val="24"/>
                <w:highlight w:val="none"/>
                <w:u w:val="single"/>
              </w:rPr>
              <w:t xml:space="preserve"> </w:t>
            </w:r>
            <w:r>
              <w:rPr>
                <w:rFonts w:hint="eastAsia" w:ascii="宋体" w:hAnsi="宋体" w:eastAsia="宋体"/>
                <w:b w:val="0"/>
                <w:sz w:val="24"/>
                <w:highlight w:val="none"/>
                <w:u w:val="single"/>
              </w:rPr>
              <w:t>30</w:t>
            </w:r>
            <w:r>
              <w:rPr>
                <w:rFonts w:ascii="宋体" w:hAnsi="宋体" w:eastAsia="宋体"/>
                <w:b w:val="0"/>
                <w:sz w:val="24"/>
                <w:highlight w:val="none"/>
                <w:u w:val="single"/>
              </w:rPr>
              <w:t xml:space="preserve"> </w:t>
            </w:r>
            <w:r>
              <w:rPr>
                <w:rFonts w:hint="eastAsia" w:ascii="宋体" w:hAnsi="宋体" w:eastAsia="宋体"/>
                <w:b w:val="0"/>
                <w:sz w:val="24"/>
                <w:highlight w:val="none"/>
              </w:rPr>
              <w:t>分</w:t>
            </w:r>
          </w:p>
        </w:tc>
      </w:tr>
      <w:tr w14:paraId="3D2C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4A4EEB36">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7</w:t>
            </w:r>
            <w:r>
              <w:rPr>
                <w:rFonts w:ascii="宋体" w:hAnsi="宋体" w:eastAsia="宋体"/>
                <w:bCs/>
                <w:kern w:val="2"/>
                <w:highlight w:val="none"/>
              </w:rPr>
              <w:t>.1</w:t>
            </w:r>
          </w:p>
        </w:tc>
        <w:tc>
          <w:tcPr>
            <w:tcW w:w="1034" w:type="pct"/>
            <w:vAlign w:val="center"/>
          </w:tcPr>
          <w:p w14:paraId="4B701919">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left"/>
              <w:textAlignment w:val="auto"/>
              <w:rPr>
                <w:rFonts w:hint="eastAsia" w:ascii="宋体" w:hAnsi="宋体" w:eastAsia="宋体"/>
                <w:b w:val="0"/>
                <w:sz w:val="24"/>
                <w:highlight w:val="none"/>
              </w:rPr>
            </w:pPr>
            <w:r>
              <w:rPr>
                <w:rFonts w:hint="eastAsia" w:ascii="宋体" w:hAnsi="宋体" w:eastAsia="宋体"/>
                <w:b w:val="0"/>
                <w:sz w:val="24"/>
                <w:highlight w:val="none"/>
              </w:rPr>
              <w:t>包别划分</w:t>
            </w:r>
          </w:p>
        </w:tc>
        <w:tc>
          <w:tcPr>
            <w:tcW w:w="3455" w:type="pct"/>
            <w:vAlign w:val="center"/>
          </w:tcPr>
          <w:p w14:paraId="7DB791BE">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u w:val="single"/>
              </w:rPr>
            </w:pPr>
            <w:r>
              <w:rPr>
                <w:rFonts w:ascii="宋体" w:hAnsi="宋体" w:eastAsia="宋体"/>
                <w:b w:val="0"/>
                <w:sz w:val="24"/>
                <w:highlight w:val="none"/>
              </w:rPr>
              <w:t>不分包</w:t>
            </w:r>
          </w:p>
        </w:tc>
      </w:tr>
      <w:tr w14:paraId="723F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4383E507">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10</w:t>
            </w:r>
            <w:r>
              <w:rPr>
                <w:rFonts w:ascii="宋体" w:hAnsi="宋体" w:eastAsia="宋体"/>
                <w:bCs/>
                <w:kern w:val="2"/>
                <w:highlight w:val="none"/>
              </w:rPr>
              <w:t>.1</w:t>
            </w:r>
          </w:p>
        </w:tc>
        <w:tc>
          <w:tcPr>
            <w:tcW w:w="1034" w:type="pct"/>
            <w:vAlign w:val="center"/>
          </w:tcPr>
          <w:p w14:paraId="6688AF20">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left"/>
              <w:textAlignment w:val="auto"/>
              <w:rPr>
                <w:rFonts w:hint="eastAsia" w:ascii="宋体" w:hAnsi="宋体" w:eastAsia="宋体"/>
                <w:b w:val="0"/>
                <w:sz w:val="24"/>
                <w:highlight w:val="none"/>
              </w:rPr>
            </w:pPr>
            <w:r>
              <w:rPr>
                <w:rFonts w:hint="eastAsia" w:ascii="宋体" w:hAnsi="宋体" w:eastAsia="宋体"/>
                <w:b w:val="0"/>
                <w:sz w:val="24"/>
                <w:highlight w:val="none"/>
              </w:rPr>
              <w:t>投标保证金</w:t>
            </w:r>
          </w:p>
        </w:tc>
        <w:tc>
          <w:tcPr>
            <w:tcW w:w="3455" w:type="pct"/>
            <w:vAlign w:val="center"/>
          </w:tcPr>
          <w:p w14:paraId="7E2D3A55">
            <w:pPr>
              <w:keepNext w:val="0"/>
              <w:keepLines w:val="0"/>
              <w:pageBreakBefore w:val="0"/>
              <w:kinsoku/>
              <w:wordWrap/>
              <w:overflowPunct/>
              <w:topLinePunct w:val="0"/>
              <w:autoSpaceDE/>
              <w:autoSpaceDN/>
              <w:bidi w:val="0"/>
              <w:adjustRightInd/>
              <w:snapToGrid/>
              <w:spacing w:line="460" w:lineRule="exact"/>
              <w:textAlignment w:val="auto"/>
              <w:rPr>
                <w:rFonts w:hint="eastAsia"/>
                <w:highlight w:val="none"/>
              </w:rPr>
            </w:pPr>
            <w:r>
              <w:rPr>
                <w:rFonts w:hint="eastAsia" w:ascii="宋体" w:hAnsi="宋体" w:eastAsia="宋体"/>
                <w:bCs/>
                <w:kern w:val="0"/>
                <w:sz w:val="24"/>
                <w:szCs w:val="28"/>
                <w:highlight w:val="none"/>
              </w:rPr>
              <w:t>不收取</w:t>
            </w:r>
          </w:p>
        </w:tc>
      </w:tr>
      <w:tr w14:paraId="19BE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198B71AE">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11</w:t>
            </w:r>
            <w:r>
              <w:rPr>
                <w:rFonts w:ascii="宋体" w:hAnsi="宋体" w:eastAsia="宋体"/>
                <w:bCs/>
                <w:kern w:val="2"/>
                <w:highlight w:val="none"/>
              </w:rPr>
              <w:t>.1</w:t>
            </w:r>
          </w:p>
        </w:tc>
        <w:tc>
          <w:tcPr>
            <w:tcW w:w="1034" w:type="pct"/>
            <w:vAlign w:val="center"/>
          </w:tcPr>
          <w:p w14:paraId="45C67934">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投标有效期</w:t>
            </w:r>
          </w:p>
        </w:tc>
        <w:tc>
          <w:tcPr>
            <w:tcW w:w="3455" w:type="pct"/>
            <w:vAlign w:val="center"/>
          </w:tcPr>
          <w:p w14:paraId="64EF649B">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u w:val="single"/>
              </w:rPr>
              <w:t xml:space="preserve"> 60个</w:t>
            </w:r>
            <w:r>
              <w:rPr>
                <w:rFonts w:hint="eastAsia" w:ascii="宋体" w:hAnsi="宋体" w:eastAsia="宋体"/>
                <w:b w:val="0"/>
                <w:sz w:val="24"/>
                <w:highlight w:val="none"/>
              </w:rPr>
              <w:t>日历日</w:t>
            </w:r>
          </w:p>
        </w:tc>
      </w:tr>
      <w:tr w14:paraId="657B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2A390580">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14.1</w:t>
            </w:r>
          </w:p>
        </w:tc>
        <w:tc>
          <w:tcPr>
            <w:tcW w:w="1034" w:type="pct"/>
            <w:vAlign w:val="center"/>
          </w:tcPr>
          <w:p w14:paraId="392BDBBB">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资格审查</w:t>
            </w:r>
          </w:p>
        </w:tc>
        <w:tc>
          <w:tcPr>
            <w:tcW w:w="3455" w:type="pct"/>
            <w:vAlign w:val="center"/>
          </w:tcPr>
          <w:p w14:paraId="3F194723">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u w:val="single"/>
              </w:rPr>
            </w:pPr>
            <w:r>
              <w:rPr>
                <w:rFonts w:hint="eastAsia" w:ascii="宋体" w:hAnsi="宋体" w:eastAsia="宋体"/>
                <w:b w:val="0"/>
                <w:bCs w:val="0"/>
                <w:sz w:val="24"/>
                <w:highlight w:val="none"/>
              </w:rPr>
              <w:t>采购人审查</w:t>
            </w:r>
          </w:p>
        </w:tc>
      </w:tr>
      <w:tr w14:paraId="1753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002C7118">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17</w:t>
            </w:r>
            <w:r>
              <w:rPr>
                <w:rFonts w:ascii="宋体" w:hAnsi="宋体" w:eastAsia="宋体"/>
                <w:bCs/>
                <w:kern w:val="2"/>
                <w:highlight w:val="none"/>
              </w:rPr>
              <w:t>.2</w:t>
            </w:r>
          </w:p>
        </w:tc>
        <w:tc>
          <w:tcPr>
            <w:tcW w:w="1034" w:type="pct"/>
            <w:vAlign w:val="center"/>
          </w:tcPr>
          <w:p w14:paraId="0E576135">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评标方法</w:t>
            </w:r>
          </w:p>
        </w:tc>
        <w:tc>
          <w:tcPr>
            <w:tcW w:w="3455" w:type="pct"/>
            <w:vAlign w:val="center"/>
          </w:tcPr>
          <w:p w14:paraId="572AC87F">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综合评分法</w:t>
            </w:r>
          </w:p>
        </w:tc>
      </w:tr>
      <w:tr w14:paraId="2786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0370DC44">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17</w:t>
            </w:r>
            <w:r>
              <w:rPr>
                <w:rFonts w:ascii="宋体" w:hAnsi="宋体" w:eastAsia="宋体"/>
                <w:bCs/>
                <w:kern w:val="2"/>
                <w:highlight w:val="none"/>
              </w:rPr>
              <w:t>.3</w:t>
            </w:r>
          </w:p>
        </w:tc>
        <w:tc>
          <w:tcPr>
            <w:tcW w:w="1034" w:type="pct"/>
            <w:vAlign w:val="center"/>
          </w:tcPr>
          <w:p w14:paraId="46007865">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报价扣除</w:t>
            </w:r>
          </w:p>
          <w:p w14:paraId="301DFE5F">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i/>
                <w:sz w:val="24"/>
                <w:highlight w:val="none"/>
              </w:rPr>
            </w:pPr>
            <w:r>
              <w:rPr>
                <w:rFonts w:hint="eastAsia" w:ascii="宋体" w:hAnsi="宋体" w:eastAsia="宋体"/>
                <w:b w:val="0"/>
                <w:sz w:val="24"/>
                <w:highlight w:val="none"/>
              </w:rPr>
              <w:t>（非专门面向中小企业采购项目适用）</w:t>
            </w:r>
          </w:p>
        </w:tc>
        <w:tc>
          <w:tcPr>
            <w:tcW w:w="3455" w:type="pct"/>
            <w:vAlign w:val="center"/>
          </w:tcPr>
          <w:p w14:paraId="7EEBFA1B">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（1）</w:t>
            </w:r>
            <w:r>
              <w:rPr>
                <w:rFonts w:ascii="宋体" w:hAnsi="宋体" w:eastAsia="宋体"/>
                <w:b w:val="0"/>
                <w:sz w:val="24"/>
                <w:highlight w:val="none"/>
              </w:rPr>
              <w:t>小型和微型</w:t>
            </w:r>
            <w:r>
              <w:rPr>
                <w:rFonts w:hint="eastAsia" w:ascii="宋体" w:hAnsi="宋体" w:eastAsia="宋体"/>
                <w:b w:val="0"/>
                <w:sz w:val="24"/>
                <w:highlight w:val="none"/>
              </w:rPr>
              <w:t>企业价格扣除：</w:t>
            </w:r>
            <w:r>
              <w:rPr>
                <w:rFonts w:hint="eastAsia" w:ascii="宋体" w:hAnsi="宋体" w:eastAsia="宋体"/>
                <w:b w:val="0"/>
                <w:sz w:val="24"/>
                <w:highlight w:val="none"/>
                <w:u w:val="single"/>
              </w:rPr>
              <w:t>10%</w:t>
            </w:r>
            <w:r>
              <w:rPr>
                <w:rFonts w:hint="eastAsia" w:ascii="宋体" w:hAnsi="宋体" w:eastAsia="宋体"/>
                <w:b w:val="0"/>
                <w:sz w:val="24"/>
                <w:highlight w:val="none"/>
              </w:rPr>
              <w:t>。</w:t>
            </w:r>
          </w:p>
          <w:p w14:paraId="001B7283">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（2）监狱企业价格扣除：同</w:t>
            </w:r>
            <w:r>
              <w:rPr>
                <w:rFonts w:ascii="宋体" w:hAnsi="宋体" w:eastAsia="宋体"/>
                <w:b w:val="0"/>
                <w:sz w:val="24"/>
                <w:highlight w:val="none"/>
              </w:rPr>
              <w:t>小型和微型企业</w:t>
            </w:r>
            <w:r>
              <w:rPr>
                <w:rFonts w:hint="eastAsia" w:ascii="宋体" w:hAnsi="宋体" w:eastAsia="宋体"/>
                <w:b w:val="0"/>
                <w:sz w:val="24"/>
                <w:highlight w:val="none"/>
              </w:rPr>
              <w:t>。</w:t>
            </w:r>
          </w:p>
          <w:p w14:paraId="2727DEA2">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（3）残疾人福利性单位价格扣除：同</w:t>
            </w:r>
            <w:r>
              <w:rPr>
                <w:rFonts w:ascii="宋体" w:hAnsi="宋体" w:eastAsia="宋体"/>
                <w:b w:val="0"/>
                <w:sz w:val="24"/>
                <w:highlight w:val="none"/>
              </w:rPr>
              <w:t>小型和微型企业</w:t>
            </w:r>
            <w:r>
              <w:rPr>
                <w:rFonts w:hint="eastAsia" w:ascii="宋体" w:hAnsi="宋体" w:eastAsia="宋体"/>
                <w:b w:val="0"/>
                <w:sz w:val="24"/>
                <w:highlight w:val="none"/>
              </w:rPr>
              <w:t>。</w:t>
            </w:r>
          </w:p>
          <w:p w14:paraId="1CD1D2F2">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（4）符合条件的联合体价格扣除：</w:t>
            </w:r>
            <w:r>
              <w:rPr>
                <w:rFonts w:hint="eastAsia" w:ascii="宋体" w:hAnsi="宋体" w:eastAsia="宋体"/>
                <w:b w:val="0"/>
                <w:sz w:val="24"/>
                <w:highlight w:val="none"/>
                <w:u w:val="single"/>
              </w:rPr>
              <w:t xml:space="preserve">/ </w:t>
            </w:r>
            <w:r>
              <w:rPr>
                <w:rFonts w:hint="eastAsia" w:ascii="宋体" w:hAnsi="宋体" w:eastAsia="宋体"/>
                <w:b w:val="0"/>
                <w:sz w:val="24"/>
                <w:highlight w:val="none"/>
              </w:rPr>
              <w:t>。</w:t>
            </w:r>
          </w:p>
          <w:p w14:paraId="21C83EE9">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（5）符合条件的向小微企业分包的大中型企业价格扣除：</w:t>
            </w:r>
            <w:r>
              <w:rPr>
                <w:rFonts w:hint="eastAsia" w:ascii="宋体" w:hAnsi="宋体" w:eastAsia="宋体"/>
                <w:b w:val="0"/>
                <w:sz w:val="24"/>
                <w:highlight w:val="none"/>
                <w:u w:val="single"/>
              </w:rPr>
              <w:t xml:space="preserve"> / </w:t>
            </w:r>
            <w:r>
              <w:rPr>
                <w:rFonts w:hint="eastAsia" w:ascii="宋体" w:hAnsi="宋体" w:eastAsia="宋体"/>
                <w:b w:val="0"/>
                <w:sz w:val="24"/>
                <w:highlight w:val="none"/>
              </w:rPr>
              <w:t>。</w:t>
            </w:r>
          </w:p>
        </w:tc>
      </w:tr>
      <w:tr w14:paraId="1699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25DB0731">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21</w:t>
            </w:r>
            <w:r>
              <w:rPr>
                <w:rFonts w:ascii="宋体" w:hAnsi="宋体" w:eastAsia="宋体"/>
                <w:bCs/>
                <w:kern w:val="2"/>
                <w:highlight w:val="none"/>
              </w:rPr>
              <w:t>.</w:t>
            </w:r>
            <w:r>
              <w:rPr>
                <w:rFonts w:hint="eastAsia" w:ascii="宋体" w:hAnsi="宋体" w:eastAsia="宋体"/>
                <w:bCs/>
                <w:kern w:val="2"/>
                <w:highlight w:val="none"/>
              </w:rPr>
              <w:t>1</w:t>
            </w:r>
          </w:p>
        </w:tc>
        <w:tc>
          <w:tcPr>
            <w:tcW w:w="1034" w:type="pct"/>
            <w:vAlign w:val="center"/>
          </w:tcPr>
          <w:p w14:paraId="73239BF7">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评标委员会推荐</w:t>
            </w:r>
            <w:r>
              <w:rPr>
                <w:rFonts w:ascii="宋体" w:hAnsi="宋体" w:eastAsia="宋体"/>
                <w:b w:val="0"/>
                <w:sz w:val="24"/>
                <w:highlight w:val="none"/>
              </w:rPr>
              <w:t>中标候选</w:t>
            </w:r>
            <w:r>
              <w:rPr>
                <w:rFonts w:hint="eastAsia" w:ascii="宋体" w:hAnsi="宋体" w:eastAsia="宋体"/>
                <w:b w:val="0"/>
                <w:sz w:val="24"/>
                <w:highlight w:val="none"/>
              </w:rPr>
              <w:t>人的</w:t>
            </w:r>
            <w:r>
              <w:rPr>
                <w:rFonts w:ascii="宋体" w:hAnsi="宋体" w:eastAsia="宋体"/>
                <w:b w:val="0"/>
                <w:sz w:val="24"/>
                <w:highlight w:val="none"/>
              </w:rPr>
              <w:t>数量</w:t>
            </w:r>
          </w:p>
        </w:tc>
        <w:tc>
          <w:tcPr>
            <w:tcW w:w="3455" w:type="pct"/>
            <w:vAlign w:val="center"/>
          </w:tcPr>
          <w:p w14:paraId="1EC16BCD">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评标委员会推荐3名中标候选人</w:t>
            </w:r>
          </w:p>
        </w:tc>
      </w:tr>
      <w:tr w14:paraId="6672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1DE45947">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21</w:t>
            </w:r>
            <w:r>
              <w:rPr>
                <w:rFonts w:ascii="宋体" w:hAnsi="宋体" w:eastAsia="宋体"/>
                <w:bCs/>
                <w:kern w:val="2"/>
                <w:highlight w:val="none"/>
              </w:rPr>
              <w:t>.</w:t>
            </w:r>
            <w:r>
              <w:rPr>
                <w:rFonts w:hint="eastAsia" w:ascii="宋体" w:hAnsi="宋体" w:eastAsia="宋体"/>
                <w:bCs/>
                <w:kern w:val="2"/>
                <w:highlight w:val="none"/>
              </w:rPr>
              <w:t>2</w:t>
            </w:r>
          </w:p>
        </w:tc>
        <w:tc>
          <w:tcPr>
            <w:tcW w:w="1034" w:type="pct"/>
            <w:vAlign w:val="center"/>
          </w:tcPr>
          <w:p w14:paraId="3AE05C47">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确定中标人</w:t>
            </w:r>
          </w:p>
        </w:tc>
        <w:tc>
          <w:tcPr>
            <w:tcW w:w="3455" w:type="pct"/>
            <w:vAlign w:val="center"/>
          </w:tcPr>
          <w:p w14:paraId="4FB95BA3">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b w:val="0"/>
                <w:sz w:val="24"/>
                <w:highlight w:val="none"/>
              </w:rPr>
            </w:pPr>
            <w:r>
              <w:rPr>
                <w:rFonts w:hint="eastAsia" w:asciiTheme="minorEastAsia" w:hAnsiTheme="minorEastAsia" w:eastAsiaTheme="minorEastAsia"/>
                <w:kern w:val="0"/>
                <w:sz w:val="24"/>
                <w:szCs w:val="24"/>
                <w:highlight w:val="none"/>
              </w:rPr>
              <w:t>采购人委托评标委员会确定</w:t>
            </w:r>
          </w:p>
        </w:tc>
      </w:tr>
      <w:tr w14:paraId="688C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222A6967">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24</w:t>
            </w:r>
            <w:r>
              <w:rPr>
                <w:rFonts w:ascii="宋体" w:hAnsi="宋体" w:eastAsia="宋体"/>
                <w:bCs/>
                <w:kern w:val="2"/>
                <w:highlight w:val="none"/>
              </w:rPr>
              <w:t>.1</w:t>
            </w:r>
          </w:p>
        </w:tc>
        <w:tc>
          <w:tcPr>
            <w:tcW w:w="1034" w:type="pct"/>
            <w:vAlign w:val="center"/>
          </w:tcPr>
          <w:p w14:paraId="2A379680">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中标通知书发出的形式</w:t>
            </w:r>
          </w:p>
        </w:tc>
        <w:tc>
          <w:tcPr>
            <w:tcW w:w="3455" w:type="pct"/>
            <w:vAlign w:val="center"/>
          </w:tcPr>
          <w:p w14:paraId="2AD50529">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bCs w:val="0"/>
                <w:sz w:val="24"/>
                <w:szCs w:val="24"/>
                <w:highlight w:val="none"/>
              </w:rPr>
            </w:pPr>
            <w:r>
              <w:rPr>
                <w:rFonts w:hint="eastAsia" w:ascii="宋体" w:hAnsi="宋体" w:eastAsia="宋体"/>
                <w:b w:val="0"/>
                <w:bCs w:val="0"/>
                <w:sz w:val="24"/>
                <w:szCs w:val="24"/>
                <w:highlight w:val="none"/>
              </w:rPr>
              <w:t>书面</w:t>
            </w:r>
          </w:p>
        </w:tc>
      </w:tr>
      <w:tr w14:paraId="1AD7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4AC6780A">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25</w:t>
            </w:r>
            <w:r>
              <w:rPr>
                <w:rFonts w:ascii="宋体" w:hAnsi="宋体" w:eastAsia="宋体"/>
                <w:bCs/>
                <w:kern w:val="2"/>
                <w:highlight w:val="none"/>
              </w:rPr>
              <w:t>.1</w:t>
            </w:r>
          </w:p>
        </w:tc>
        <w:tc>
          <w:tcPr>
            <w:tcW w:w="1034" w:type="pct"/>
            <w:vAlign w:val="center"/>
          </w:tcPr>
          <w:p w14:paraId="22C91050">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告知招标结果的形式</w:t>
            </w:r>
          </w:p>
        </w:tc>
        <w:tc>
          <w:tcPr>
            <w:tcW w:w="3455" w:type="pct"/>
            <w:vAlign w:val="center"/>
          </w:tcPr>
          <w:p w14:paraId="7362B8A9">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heme="minorEastAsia" w:hAnsiTheme="minorEastAsia" w:eastAsiaTheme="minorEastAsia"/>
                <w:b w:val="0"/>
                <w:bCs w:val="0"/>
                <w:kern w:val="2"/>
                <w:sz w:val="24"/>
                <w:szCs w:val="24"/>
                <w:highlight w:val="none"/>
              </w:rPr>
            </w:pPr>
            <w:r>
              <w:rPr>
                <w:rFonts w:hint="eastAsia" w:asciiTheme="minorEastAsia" w:hAnsiTheme="minorEastAsia" w:eastAsiaTheme="minorEastAsia"/>
                <w:b w:val="0"/>
                <w:bCs w:val="0"/>
                <w:kern w:val="2"/>
                <w:sz w:val="24"/>
                <w:szCs w:val="24"/>
                <w:highlight w:val="none"/>
              </w:rPr>
              <w:t>评标现场告知</w:t>
            </w:r>
          </w:p>
        </w:tc>
      </w:tr>
      <w:tr w14:paraId="013A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5213C0D1">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26</w:t>
            </w:r>
            <w:r>
              <w:rPr>
                <w:rFonts w:ascii="宋体" w:hAnsi="宋体" w:eastAsia="宋体"/>
                <w:bCs/>
                <w:kern w:val="2"/>
                <w:highlight w:val="none"/>
              </w:rPr>
              <w:t>.1</w:t>
            </w:r>
          </w:p>
        </w:tc>
        <w:tc>
          <w:tcPr>
            <w:tcW w:w="1034" w:type="pct"/>
            <w:vAlign w:val="center"/>
          </w:tcPr>
          <w:p w14:paraId="22F17998">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履约保证金</w:t>
            </w:r>
          </w:p>
        </w:tc>
        <w:tc>
          <w:tcPr>
            <w:tcW w:w="3455" w:type="pct"/>
            <w:vAlign w:val="center"/>
          </w:tcPr>
          <w:p w14:paraId="694CE22F">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b/>
                <w:bCs/>
                <w:kern w:val="0"/>
                <w:sz w:val="24"/>
                <w:szCs w:val="24"/>
                <w:highlight w:val="none"/>
              </w:rPr>
            </w:pPr>
            <w:r>
              <w:rPr>
                <w:rFonts w:hint="eastAsia" w:ascii="宋体" w:hAnsi="宋体" w:eastAsia="宋体"/>
                <w:bCs/>
                <w:kern w:val="0"/>
                <w:sz w:val="24"/>
                <w:szCs w:val="28"/>
                <w:highlight w:val="none"/>
              </w:rPr>
              <w:t>免收</w:t>
            </w:r>
          </w:p>
        </w:tc>
      </w:tr>
      <w:tr w14:paraId="5B79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26F791B0">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27</w:t>
            </w:r>
            <w:r>
              <w:rPr>
                <w:rFonts w:ascii="宋体" w:hAnsi="宋体" w:eastAsia="宋体"/>
                <w:bCs/>
                <w:kern w:val="2"/>
                <w:highlight w:val="none"/>
              </w:rPr>
              <w:t>.1</w:t>
            </w:r>
          </w:p>
        </w:tc>
        <w:tc>
          <w:tcPr>
            <w:tcW w:w="1034" w:type="pct"/>
            <w:vAlign w:val="center"/>
          </w:tcPr>
          <w:p w14:paraId="14B92765">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签订合同和合同公告时间</w:t>
            </w:r>
          </w:p>
        </w:tc>
        <w:tc>
          <w:tcPr>
            <w:tcW w:w="3455" w:type="pct"/>
            <w:vAlign w:val="center"/>
          </w:tcPr>
          <w:p w14:paraId="7CFA1C8D">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cs="宋体"/>
                <w:szCs w:val="24"/>
                <w:highlight w:val="none"/>
              </w:rPr>
            </w:pPr>
            <w:r>
              <w:rPr>
                <w:rFonts w:hint="eastAsia" w:ascii="宋体" w:hAnsi="宋体" w:eastAsia="宋体" w:cs="宋体"/>
                <w:szCs w:val="24"/>
                <w:highlight w:val="none"/>
              </w:rPr>
              <w:t>（1）采购人与中标人应当自发出中标通知书之日起7个工作日内签订合同。</w:t>
            </w:r>
          </w:p>
          <w:p w14:paraId="7B5E6549">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b/>
                <w:bCs/>
                <w:szCs w:val="24"/>
                <w:highlight w:val="none"/>
              </w:rPr>
            </w:pPr>
            <w:r>
              <w:rPr>
                <w:rFonts w:hint="eastAsia" w:ascii="宋体" w:hAnsi="宋体" w:eastAsia="宋体" w:cs="宋体"/>
                <w:szCs w:val="24"/>
                <w:highlight w:val="none"/>
              </w:rPr>
              <w:t>（2）采购人与中标人</w:t>
            </w:r>
            <w:r>
              <w:rPr>
                <w:rFonts w:ascii="宋体" w:hAnsi="宋体" w:eastAsia="宋体" w:cs="宋体"/>
                <w:szCs w:val="24"/>
                <w:highlight w:val="none"/>
              </w:rPr>
              <w:t>不得擅自变更合同，依照政府采购法确需变更政府采购合同内容的，采购人应当自合同变更之日起2个工作日内</w:t>
            </w:r>
            <w:r>
              <w:rPr>
                <w:rFonts w:hint="eastAsia" w:ascii="宋体" w:hAnsi="宋体" w:eastAsia="宋体" w:cs="宋体"/>
                <w:szCs w:val="24"/>
                <w:highlight w:val="none"/>
              </w:rPr>
              <w:t>在</w:t>
            </w:r>
            <w:r>
              <w:rPr>
                <w:rFonts w:hint="eastAsia" w:ascii="宋体" w:hAnsi="宋体" w:eastAsia="宋体" w:cs="宋体"/>
                <w:szCs w:val="24"/>
                <w:highlight w:val="none"/>
                <w:lang w:eastAsia="zh-CN"/>
              </w:rPr>
              <w:t>滁州市妇幼保健计划生育服务中心网站</w:t>
            </w:r>
            <w:r>
              <w:rPr>
                <w:rFonts w:ascii="宋体" w:hAnsi="宋体" w:eastAsia="宋体" w:cs="宋体"/>
                <w:szCs w:val="24"/>
                <w:highlight w:val="none"/>
              </w:rPr>
              <w:t>发布政府采购合同变更公告</w:t>
            </w:r>
            <w:r>
              <w:rPr>
                <w:rFonts w:hint="eastAsia" w:ascii="宋体" w:hAnsi="宋体" w:eastAsia="宋体" w:cs="宋体"/>
                <w:szCs w:val="24"/>
                <w:highlight w:val="none"/>
              </w:rPr>
              <w:t>，</w:t>
            </w:r>
            <w:r>
              <w:rPr>
                <w:rFonts w:ascii="宋体" w:hAnsi="宋体" w:eastAsia="宋体" w:cs="宋体"/>
                <w:szCs w:val="24"/>
                <w:highlight w:val="none"/>
              </w:rPr>
              <w:t>但涉及国家秘密、商业秘密的信息和其他依法不得公开的信息除外。</w:t>
            </w:r>
          </w:p>
        </w:tc>
      </w:tr>
      <w:tr w14:paraId="316B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6671DA2A">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28</w:t>
            </w:r>
            <w:r>
              <w:rPr>
                <w:rFonts w:ascii="宋体" w:hAnsi="宋体" w:eastAsia="宋体"/>
                <w:bCs/>
                <w:kern w:val="2"/>
                <w:highlight w:val="none"/>
              </w:rPr>
              <w:t>.1</w:t>
            </w:r>
          </w:p>
        </w:tc>
        <w:tc>
          <w:tcPr>
            <w:tcW w:w="1034" w:type="pct"/>
            <w:vAlign w:val="center"/>
          </w:tcPr>
          <w:p w14:paraId="0753F123">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代理费用</w:t>
            </w:r>
          </w:p>
        </w:tc>
        <w:tc>
          <w:tcPr>
            <w:tcW w:w="3455" w:type="pct"/>
            <w:vAlign w:val="center"/>
          </w:tcPr>
          <w:p w14:paraId="5F86CAA7">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bCs/>
                <w:kern w:val="0"/>
                <w:sz w:val="24"/>
                <w:szCs w:val="28"/>
                <w:highlight w:val="none"/>
              </w:rPr>
              <w:t>（1）</w:t>
            </w:r>
            <w:r>
              <w:rPr>
                <w:rFonts w:ascii="宋体" w:hAnsi="宋体" w:eastAsia="宋体"/>
                <w:bCs/>
                <w:kern w:val="0"/>
                <w:sz w:val="24"/>
                <w:szCs w:val="28"/>
                <w:highlight w:val="none"/>
              </w:rPr>
              <w:t>收费对象</w:t>
            </w:r>
            <w:r>
              <w:rPr>
                <w:rFonts w:ascii="宋体" w:hAnsi="宋体" w:eastAsia="宋体" w:cs="宋体"/>
                <w:spacing w:val="-12"/>
                <w:sz w:val="24"/>
                <w:szCs w:val="24"/>
                <w:highlight w:val="none"/>
              </w:rPr>
              <w:t>：</w:t>
            </w:r>
            <w:r>
              <w:rPr>
                <w:rFonts w:ascii="宋体" w:hAnsi="宋体" w:eastAsia="宋体" w:cs="宋体"/>
                <w:spacing w:val="14"/>
                <w:sz w:val="24"/>
                <w:szCs w:val="24"/>
                <w:highlight w:val="none"/>
              </w:rPr>
              <w:t>中标人</w:t>
            </w:r>
          </w:p>
          <w:p w14:paraId="3446B1EE">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bCs w:val="0"/>
                <w:sz w:val="24"/>
                <w:highlight w:val="none"/>
              </w:rPr>
              <w:t>（3）</w:t>
            </w:r>
            <w:r>
              <w:rPr>
                <w:rFonts w:ascii="宋体" w:hAnsi="宋体" w:eastAsia="宋体"/>
                <w:b w:val="0"/>
                <w:sz w:val="24"/>
                <w:highlight w:val="none"/>
              </w:rPr>
              <w:t>收费标准：</w:t>
            </w:r>
            <w:r>
              <w:rPr>
                <w:rFonts w:hint="eastAsia" w:ascii="宋体" w:hAnsi="宋体" w:eastAsia="宋体" w:cs="宋体"/>
                <w:b w:val="0"/>
                <w:bCs w:val="0"/>
                <w:sz w:val="24"/>
                <w:szCs w:val="24"/>
                <w:highlight w:val="none"/>
                <w:u w:val="single"/>
                <w:lang w:val="en-US" w:eastAsia="zh-CN"/>
              </w:rPr>
              <w:t>3000.00元</w:t>
            </w:r>
          </w:p>
        </w:tc>
      </w:tr>
      <w:tr w14:paraId="711C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6F20FA57">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31</w:t>
            </w:r>
            <w:r>
              <w:rPr>
                <w:rFonts w:ascii="宋体" w:hAnsi="宋体" w:eastAsia="宋体"/>
                <w:bCs/>
                <w:kern w:val="2"/>
                <w:highlight w:val="none"/>
              </w:rPr>
              <w:t>.</w:t>
            </w:r>
            <w:r>
              <w:rPr>
                <w:rFonts w:hint="eastAsia" w:ascii="宋体" w:hAnsi="宋体" w:eastAsia="宋体"/>
                <w:bCs/>
                <w:kern w:val="2"/>
                <w:highlight w:val="none"/>
              </w:rPr>
              <w:t>3</w:t>
            </w:r>
          </w:p>
        </w:tc>
        <w:tc>
          <w:tcPr>
            <w:tcW w:w="1034" w:type="pct"/>
            <w:vAlign w:val="center"/>
          </w:tcPr>
          <w:p w14:paraId="7B015120">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质疑函递交方式、接收部门、联系电话和通讯地址</w:t>
            </w:r>
          </w:p>
        </w:tc>
        <w:tc>
          <w:tcPr>
            <w:tcW w:w="3455" w:type="pct"/>
            <w:vAlign w:val="center"/>
          </w:tcPr>
          <w:p w14:paraId="5E52121F">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u w:val="single"/>
              </w:rPr>
            </w:pPr>
            <w:r>
              <w:rPr>
                <w:rFonts w:hint="eastAsia" w:ascii="宋体" w:hAnsi="宋体" w:eastAsia="宋体"/>
                <w:b w:val="0"/>
                <w:sz w:val="24"/>
                <w:highlight w:val="none"/>
              </w:rPr>
              <w:t>递交方式：</w:t>
            </w:r>
            <w:r>
              <w:rPr>
                <w:rFonts w:hint="eastAsia" w:ascii="宋体" w:hAnsi="宋体" w:eastAsia="宋体"/>
                <w:b w:val="0"/>
                <w:sz w:val="24"/>
                <w:highlight w:val="none"/>
                <w:u w:val="single"/>
              </w:rPr>
              <w:t>书面形式递交。如投标人对招标文件有质疑，可以依据中华人民共和国财政部令第94号《政府采购质疑和投诉办法》规定，以书面形式向采购人、采购代理机构提出质疑。</w:t>
            </w:r>
          </w:p>
          <w:p w14:paraId="64C5BB50">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u w:val="single"/>
                <w:lang w:eastAsia="zh-CN"/>
              </w:rPr>
            </w:pPr>
            <w:r>
              <w:rPr>
                <w:rFonts w:hint="eastAsia" w:ascii="宋体" w:hAnsi="宋体" w:eastAsia="宋体"/>
                <w:b w:val="0"/>
                <w:sz w:val="24"/>
                <w:highlight w:val="none"/>
              </w:rPr>
              <w:t>接收部门：</w:t>
            </w:r>
            <w:r>
              <w:rPr>
                <w:rFonts w:hint="eastAsia" w:ascii="宋体" w:hAnsi="宋体" w:eastAsia="宋体"/>
                <w:b w:val="0"/>
                <w:sz w:val="24"/>
                <w:highlight w:val="none"/>
                <w:u w:val="single"/>
                <w:lang w:eastAsia="zh-CN"/>
              </w:rPr>
              <w:t>滁州市妇幼保健计划生育服务中心</w:t>
            </w:r>
            <w:r>
              <w:rPr>
                <w:rFonts w:hint="eastAsia" w:ascii="宋体" w:hAnsi="宋体" w:eastAsia="宋体"/>
                <w:b w:val="0"/>
                <w:sz w:val="24"/>
                <w:highlight w:val="none"/>
                <w:u w:val="single"/>
              </w:rPr>
              <w:t>、</w:t>
            </w:r>
            <w:r>
              <w:rPr>
                <w:rFonts w:hint="eastAsia" w:ascii="宋体" w:hAnsi="宋体" w:eastAsia="宋体"/>
                <w:b w:val="0"/>
                <w:sz w:val="24"/>
                <w:highlight w:val="none"/>
                <w:u w:val="single"/>
                <w:lang w:eastAsia="zh-CN"/>
              </w:rPr>
              <w:t>安徽立信项目管理有限公司</w:t>
            </w:r>
          </w:p>
          <w:p w14:paraId="13699C3A">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u w:val="single"/>
                <w:lang w:eastAsia="zh-CN"/>
              </w:rPr>
            </w:pPr>
            <w:r>
              <w:rPr>
                <w:rFonts w:hint="eastAsia" w:ascii="宋体" w:hAnsi="宋体" w:eastAsia="宋体"/>
                <w:b w:val="0"/>
                <w:sz w:val="24"/>
                <w:highlight w:val="none"/>
              </w:rPr>
              <w:t>联系电话：</w:t>
            </w:r>
            <w:r>
              <w:rPr>
                <w:rFonts w:hint="eastAsia" w:ascii="宋体" w:hAnsi="宋体" w:eastAsia="宋体"/>
                <w:b w:val="0"/>
                <w:sz w:val="24"/>
                <w:highlight w:val="none"/>
                <w:u w:val="single"/>
                <w:lang w:eastAsia="zh-CN"/>
              </w:rPr>
              <w:t>0550-3029385</w:t>
            </w:r>
            <w:r>
              <w:rPr>
                <w:rFonts w:hint="eastAsia" w:ascii="宋体" w:hAnsi="宋体" w:eastAsia="宋体"/>
                <w:b w:val="0"/>
                <w:sz w:val="24"/>
                <w:highlight w:val="none"/>
                <w:u w:val="single"/>
              </w:rPr>
              <w:t>、</w:t>
            </w:r>
            <w:r>
              <w:rPr>
                <w:rFonts w:hint="eastAsia" w:ascii="宋体" w:hAnsi="宋体" w:eastAsia="宋体"/>
                <w:b w:val="0"/>
                <w:sz w:val="24"/>
                <w:highlight w:val="none"/>
                <w:u w:val="single"/>
                <w:lang w:eastAsia="zh-CN"/>
              </w:rPr>
              <w:t>18755015380</w:t>
            </w:r>
          </w:p>
          <w:p w14:paraId="2A1631F5">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lang w:eastAsia="zh-CN"/>
              </w:rPr>
            </w:pPr>
            <w:r>
              <w:rPr>
                <w:rFonts w:hint="eastAsia" w:ascii="宋体" w:hAnsi="宋体" w:eastAsia="宋体"/>
                <w:b w:val="0"/>
                <w:sz w:val="24"/>
                <w:highlight w:val="none"/>
              </w:rPr>
              <w:t>通讯地址：</w:t>
            </w:r>
            <w:r>
              <w:rPr>
                <w:rFonts w:hint="eastAsia" w:ascii="宋体" w:hAnsi="宋体" w:eastAsia="宋体"/>
                <w:b w:val="0"/>
                <w:sz w:val="24"/>
                <w:highlight w:val="none"/>
                <w:u w:val="single"/>
                <w:lang w:eastAsia="zh-CN"/>
              </w:rPr>
              <w:t>滁州市南谯区醉翁西路105号</w:t>
            </w:r>
            <w:r>
              <w:rPr>
                <w:rFonts w:hint="eastAsia" w:ascii="宋体" w:hAnsi="宋体" w:eastAsia="宋体"/>
                <w:b w:val="0"/>
                <w:sz w:val="24"/>
                <w:highlight w:val="none"/>
                <w:u w:val="single"/>
              </w:rPr>
              <w:t>、</w:t>
            </w:r>
            <w:r>
              <w:rPr>
                <w:rFonts w:hint="eastAsia" w:ascii="宋体" w:hAnsi="宋体" w:eastAsia="宋体"/>
                <w:b w:val="0"/>
                <w:sz w:val="24"/>
                <w:highlight w:val="none"/>
                <w:u w:val="single"/>
                <w:lang w:eastAsia="zh-CN"/>
              </w:rPr>
              <w:t>安徽省滁州市琅琊区创新路1700号（国樾府）S2号楼商业单元102-3室</w:t>
            </w:r>
          </w:p>
        </w:tc>
      </w:tr>
      <w:tr w14:paraId="1A89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vAlign w:val="center"/>
          </w:tcPr>
          <w:p w14:paraId="6637A206">
            <w:pPr>
              <w:pStyle w:val="44"/>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60" w:lineRule="exact"/>
              <w:textAlignment w:val="auto"/>
              <w:rPr>
                <w:rFonts w:hint="eastAsia" w:ascii="宋体" w:hAnsi="宋体" w:eastAsia="宋体"/>
                <w:bCs/>
                <w:kern w:val="2"/>
                <w:highlight w:val="none"/>
              </w:rPr>
            </w:pPr>
            <w:r>
              <w:rPr>
                <w:rFonts w:hint="eastAsia" w:ascii="宋体" w:hAnsi="宋体" w:eastAsia="宋体"/>
                <w:bCs/>
                <w:kern w:val="2"/>
                <w:highlight w:val="none"/>
              </w:rPr>
              <w:t>32</w:t>
            </w:r>
          </w:p>
        </w:tc>
        <w:tc>
          <w:tcPr>
            <w:tcW w:w="1034" w:type="pct"/>
            <w:vAlign w:val="center"/>
          </w:tcPr>
          <w:p w14:paraId="367CF582">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宋体" w:hAnsi="宋体" w:eastAsia="宋体"/>
                <w:b w:val="0"/>
                <w:sz w:val="24"/>
                <w:highlight w:val="none"/>
              </w:rPr>
            </w:pPr>
            <w:r>
              <w:rPr>
                <w:rFonts w:hint="eastAsia" w:ascii="宋体" w:hAnsi="宋体" w:eastAsia="宋体"/>
                <w:b w:val="0"/>
                <w:sz w:val="24"/>
                <w:highlight w:val="none"/>
              </w:rPr>
              <w:t>其他内容</w:t>
            </w:r>
          </w:p>
        </w:tc>
        <w:tc>
          <w:tcPr>
            <w:tcW w:w="3455" w:type="pct"/>
            <w:vAlign w:val="center"/>
          </w:tcPr>
          <w:p w14:paraId="0ECD828F">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1、解释权：</w:t>
            </w:r>
          </w:p>
          <w:p w14:paraId="6D37B6CB">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（1）构成本招标文件的各个组成文件应互为解释，互为说明；</w:t>
            </w:r>
          </w:p>
          <w:p w14:paraId="3F5CD068">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（2）同一组成文件中就同一事项的规定或约定不一致的，以编排顺序在后者为准；</w:t>
            </w:r>
          </w:p>
          <w:p w14:paraId="7BABD263">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（3）如有不明确或不一致，构成合同文件组成内容的，以合同文件约定内容为准，且以专用合同条款约定的合同文件优先顺序解释；</w:t>
            </w:r>
          </w:p>
          <w:p w14:paraId="21FC4FE1">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（4）除招标文件中有特别规定外，仅适用于招标投标阶段的规定，按招标公告、投标邀请、投标人须知、评标方法和标准、投标文件格式的先后顺序解释；</w:t>
            </w:r>
          </w:p>
          <w:p w14:paraId="6E3B38B5">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（5）按本款前述规定仍不能形成结论的，由采购人负责解释。</w:t>
            </w:r>
          </w:p>
        </w:tc>
      </w:tr>
    </w:tbl>
    <w:p w14:paraId="6EB705F3">
      <w:pPr>
        <w:spacing w:line="360" w:lineRule="auto"/>
        <w:jc w:val="center"/>
        <w:outlineLvl w:val="1"/>
        <w:rPr>
          <w:rFonts w:hint="eastAsia" w:asciiTheme="minorEastAsia" w:hAnsiTheme="minorEastAsia" w:eastAsiaTheme="minorEastAsia"/>
          <w:b/>
          <w:sz w:val="24"/>
          <w:highlight w:val="none"/>
        </w:rPr>
      </w:pPr>
      <w:r>
        <w:rPr>
          <w:rFonts w:asciiTheme="minorEastAsia" w:hAnsiTheme="minorEastAsia" w:eastAsiaTheme="minorEastAsia"/>
          <w:b/>
          <w:sz w:val="28"/>
          <w:highlight w:val="none"/>
        </w:rPr>
        <w:br w:type="page"/>
      </w:r>
      <w:bookmarkStart w:id="26" w:name="_Toc19961"/>
      <w:bookmarkStart w:id="27" w:name="_Toc14880"/>
      <w:bookmarkStart w:id="28" w:name="_Toc24882"/>
      <w:r>
        <w:rPr>
          <w:rFonts w:hint="eastAsia" w:asciiTheme="minorEastAsia" w:hAnsiTheme="minorEastAsia" w:eastAsiaTheme="minorEastAsia"/>
          <w:b/>
          <w:sz w:val="24"/>
          <w:szCs w:val="24"/>
          <w:highlight w:val="none"/>
        </w:rPr>
        <w:t>二、</w:t>
      </w:r>
      <w:r>
        <w:rPr>
          <w:rFonts w:asciiTheme="minorEastAsia" w:hAnsiTheme="minorEastAsia" w:eastAsiaTheme="minorEastAsia"/>
          <w:b/>
          <w:sz w:val="24"/>
          <w:szCs w:val="24"/>
          <w:highlight w:val="none"/>
        </w:rPr>
        <w:t>投标人须知</w:t>
      </w:r>
      <w:r>
        <w:rPr>
          <w:rFonts w:hint="eastAsia" w:asciiTheme="minorEastAsia" w:hAnsiTheme="minorEastAsia" w:eastAsiaTheme="minorEastAsia"/>
          <w:b/>
          <w:sz w:val="24"/>
          <w:szCs w:val="24"/>
          <w:highlight w:val="none"/>
        </w:rPr>
        <w:t>正文</w:t>
      </w:r>
      <w:bookmarkEnd w:id="26"/>
      <w:bookmarkEnd w:id="27"/>
      <w:bookmarkEnd w:id="28"/>
    </w:p>
    <w:p w14:paraId="0CC0D6D5">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1.采购人、采购代理机构及投标人</w:t>
      </w:r>
    </w:p>
    <w:p w14:paraId="178A8179">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.1采购人：是指依法开展政府采购活动的国家机关、事业单位、团体组织。</w:t>
      </w:r>
    </w:p>
    <w:p w14:paraId="477CAEFC">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.2采购代理机构：是指集中采购机构或从事采购代理业务的社会中介机构。</w:t>
      </w:r>
    </w:p>
    <w:p w14:paraId="4646A99F">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.3政府采购监督管理部门：</w:t>
      </w:r>
      <w:r>
        <w:rPr>
          <w:rFonts w:hint="eastAsia" w:ascii="宋体" w:hAnsi="宋体" w:eastAsia="宋体"/>
          <w:sz w:val="24"/>
          <w:highlight w:val="none"/>
        </w:rPr>
        <w:t>各级人民政府指定的有关部门依法履行与政府采购活动有关的监督管理职责。</w:t>
      </w:r>
    </w:p>
    <w:p w14:paraId="6DA4CA23">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.4投标人：是指向采购人提供货物、工程或者服务的法人、</w:t>
      </w:r>
      <w:r>
        <w:rPr>
          <w:rFonts w:hint="eastAsia" w:ascii="宋体" w:hAnsi="宋体" w:eastAsia="宋体"/>
          <w:sz w:val="24"/>
          <w:highlight w:val="none"/>
        </w:rPr>
        <w:t>其他</w:t>
      </w:r>
      <w:r>
        <w:rPr>
          <w:rFonts w:ascii="宋体" w:hAnsi="宋体" w:eastAsia="宋体"/>
          <w:sz w:val="24"/>
          <w:highlight w:val="none"/>
        </w:rPr>
        <w:t>组织或者自然人。</w:t>
      </w:r>
      <w:r>
        <w:rPr>
          <w:rFonts w:hint="eastAsia" w:ascii="宋体" w:hAnsi="宋体" w:eastAsia="宋体"/>
          <w:sz w:val="24"/>
          <w:highlight w:val="none"/>
        </w:rPr>
        <w:t>分支机构不得参加政府采购活动，但银行、保险、石油石化、电力、电信等特殊行业除外。</w:t>
      </w:r>
      <w:r>
        <w:rPr>
          <w:rFonts w:ascii="宋体" w:hAnsi="宋体" w:eastAsia="宋体"/>
          <w:sz w:val="24"/>
          <w:highlight w:val="none"/>
        </w:rPr>
        <w:t>本项目的投标人须满足以下条件：</w:t>
      </w:r>
    </w:p>
    <w:p w14:paraId="68960B1A">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1</w:t>
      </w:r>
      <w:r>
        <w:rPr>
          <w:rFonts w:ascii="宋体" w:hAnsi="宋体" w:eastAsia="宋体"/>
          <w:sz w:val="24"/>
          <w:highlight w:val="none"/>
        </w:rPr>
        <w:t>具备《中华人民共和国政府采购法》第二十二条关于供应商条件的规定，遵守本项目采购人本级和上级财政部门政府采购的有关规定。</w:t>
      </w:r>
    </w:p>
    <w:p w14:paraId="5E833FF7">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2</w:t>
      </w:r>
      <w:r>
        <w:rPr>
          <w:rFonts w:ascii="宋体" w:hAnsi="宋体" w:eastAsia="宋体"/>
          <w:sz w:val="24"/>
          <w:highlight w:val="none"/>
        </w:rPr>
        <w:t>以采购代理机构认可的方式获得了本项目的招标文件。</w:t>
      </w:r>
    </w:p>
    <w:p w14:paraId="2944BE46">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3</w:t>
      </w:r>
      <w:r>
        <w:rPr>
          <w:rFonts w:ascii="宋体" w:hAnsi="宋体" w:eastAsia="宋体"/>
          <w:sz w:val="24"/>
          <w:highlight w:val="none"/>
        </w:rPr>
        <w:t>若</w:t>
      </w:r>
      <w:r>
        <w:rPr>
          <w:rFonts w:hint="eastAsia" w:ascii="宋体" w:hAnsi="宋体" w:eastAsia="宋体"/>
          <w:sz w:val="24"/>
          <w:highlight w:val="none"/>
        </w:rPr>
        <w:t>采购需求</w:t>
      </w:r>
      <w:r>
        <w:rPr>
          <w:rFonts w:ascii="宋体" w:hAnsi="宋体" w:eastAsia="宋体"/>
          <w:sz w:val="24"/>
          <w:highlight w:val="none"/>
        </w:rPr>
        <w:t>中写明允许采购进口产品，投标人应保证所投产品可履行合法报通关手续进入中国关境内。</w:t>
      </w:r>
    </w:p>
    <w:p w14:paraId="4650EC32">
      <w:pPr>
        <w:spacing w:line="360" w:lineRule="auto"/>
        <w:ind w:firstLine="435"/>
        <w:rPr>
          <w:rFonts w:hint="eastAsia" w:ascii="宋体" w:hAnsi="宋体" w:eastAsia="宋体"/>
          <w:sz w:val="24"/>
          <w:highlight w:val="none"/>
        </w:rPr>
      </w:pPr>
      <w:r>
        <w:rPr>
          <w:rFonts w:hint="eastAsia" w:ascii="宋体" w:hAnsi="宋体" w:eastAsia="宋体"/>
          <w:sz w:val="24"/>
          <w:highlight w:val="none"/>
        </w:rPr>
        <w:t>若采购需求中未写明允许采购进口产品，如投标人所投产品为进口产品，其投标将被认定为</w:t>
      </w:r>
      <w:r>
        <w:rPr>
          <w:rFonts w:hint="eastAsia" w:ascii="宋体" w:hAnsi="宋体" w:eastAsia="宋体"/>
          <w:b/>
          <w:sz w:val="24"/>
          <w:highlight w:val="none"/>
        </w:rPr>
        <w:t>投标无效</w:t>
      </w:r>
      <w:r>
        <w:rPr>
          <w:rFonts w:hint="eastAsia" w:ascii="宋体" w:hAnsi="宋体" w:eastAsia="宋体"/>
          <w:sz w:val="24"/>
          <w:highlight w:val="none"/>
        </w:rPr>
        <w:t>。</w:t>
      </w:r>
    </w:p>
    <w:p w14:paraId="2BD5E71A">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w:t>
      </w:r>
      <w:r>
        <w:rPr>
          <w:rFonts w:hint="eastAsia" w:ascii="宋体" w:hAnsi="宋体" w:eastAsia="宋体"/>
          <w:sz w:val="24"/>
          <w:highlight w:val="none"/>
        </w:rPr>
        <w:t>若招标公告</w:t>
      </w:r>
      <w:r>
        <w:rPr>
          <w:rFonts w:ascii="宋体" w:hAnsi="宋体" w:eastAsia="宋体"/>
          <w:sz w:val="24"/>
          <w:highlight w:val="none"/>
        </w:rPr>
        <w:t>中允许联合体投标，对联合体规定如下：</w:t>
      </w:r>
    </w:p>
    <w:p w14:paraId="49989F40">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5.1两个以上供应商可以组成一个投标联合体，以一个投标人的身份投标。联合体投标的，</w:t>
      </w:r>
      <w:r>
        <w:rPr>
          <w:rFonts w:hint="eastAsia" w:ascii="宋体" w:hAnsi="宋体" w:eastAsia="宋体"/>
          <w:sz w:val="24"/>
          <w:highlight w:val="none"/>
        </w:rPr>
        <w:t>招标文件获取</w:t>
      </w:r>
      <w:r>
        <w:rPr>
          <w:rFonts w:ascii="宋体" w:hAnsi="宋体" w:eastAsia="宋体"/>
          <w:sz w:val="24"/>
          <w:highlight w:val="none"/>
        </w:rPr>
        <w:t>手续由联合体</w:t>
      </w:r>
      <w:r>
        <w:rPr>
          <w:rFonts w:hint="eastAsia" w:ascii="宋体" w:hAnsi="宋体" w:eastAsia="宋体"/>
          <w:sz w:val="24"/>
          <w:highlight w:val="none"/>
        </w:rPr>
        <w:t>中</w:t>
      </w:r>
      <w:r>
        <w:rPr>
          <w:rFonts w:ascii="宋体" w:hAnsi="宋体" w:eastAsia="宋体"/>
          <w:sz w:val="24"/>
          <w:highlight w:val="none"/>
        </w:rPr>
        <w:t>任</w:t>
      </w:r>
      <w:r>
        <w:rPr>
          <w:rFonts w:hint="eastAsia" w:ascii="宋体" w:hAnsi="宋体" w:eastAsia="宋体"/>
          <w:sz w:val="24"/>
          <w:highlight w:val="none"/>
        </w:rPr>
        <w:t>一成员单位</w:t>
      </w:r>
      <w:r>
        <w:rPr>
          <w:rFonts w:ascii="宋体" w:hAnsi="宋体" w:eastAsia="宋体"/>
          <w:sz w:val="24"/>
          <w:highlight w:val="none"/>
        </w:rPr>
        <w:t>办理均可。</w:t>
      </w:r>
    </w:p>
    <w:p w14:paraId="25992A31">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5.2联合体各方均应符合《中华人民共和国政府采购法》第二十二条规定的条件。</w:t>
      </w:r>
    </w:p>
    <w:p w14:paraId="0159F359">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5.3采购人根据采购项目对投标人的特殊要求，联合体中至少应当有一方符合相关规定。</w:t>
      </w:r>
    </w:p>
    <w:p w14:paraId="3D6B3C98">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5.4联合体各方应签订</w:t>
      </w:r>
      <w:r>
        <w:rPr>
          <w:rFonts w:hint="eastAsia" w:ascii="宋体" w:hAnsi="宋体" w:eastAsia="宋体"/>
          <w:sz w:val="24"/>
          <w:highlight w:val="none"/>
        </w:rPr>
        <w:t>联合协议</w:t>
      </w:r>
      <w:r>
        <w:rPr>
          <w:rFonts w:ascii="宋体" w:hAnsi="宋体" w:eastAsia="宋体"/>
          <w:sz w:val="24"/>
          <w:highlight w:val="none"/>
        </w:rPr>
        <w:t>，明确约定联合体各方承担的工作和相应的责任，并将</w:t>
      </w:r>
      <w:r>
        <w:rPr>
          <w:rFonts w:hint="eastAsia" w:ascii="宋体" w:hAnsi="宋体" w:eastAsia="宋体"/>
          <w:sz w:val="24"/>
          <w:highlight w:val="none"/>
        </w:rPr>
        <w:t>联合协议</w:t>
      </w:r>
      <w:r>
        <w:rPr>
          <w:rFonts w:ascii="宋体" w:hAnsi="宋体" w:eastAsia="宋体"/>
          <w:sz w:val="24"/>
          <w:highlight w:val="none"/>
        </w:rPr>
        <w:t>作为投标文件</w:t>
      </w:r>
      <w:r>
        <w:rPr>
          <w:rFonts w:hint="eastAsia" w:ascii="宋体" w:hAnsi="宋体" w:eastAsia="宋体"/>
          <w:sz w:val="24"/>
          <w:highlight w:val="none"/>
        </w:rPr>
        <w:t>的</w:t>
      </w:r>
      <w:r>
        <w:rPr>
          <w:rFonts w:ascii="宋体" w:hAnsi="宋体" w:eastAsia="宋体"/>
          <w:sz w:val="24"/>
          <w:highlight w:val="none"/>
        </w:rPr>
        <w:t>一部分提交。</w:t>
      </w:r>
    </w:p>
    <w:p w14:paraId="302CB7AE">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5.5大中型企业、其他自然人、法人或者非法人组织与小型、微型企业组成联合体共同参加投标，</w:t>
      </w:r>
      <w:r>
        <w:rPr>
          <w:rFonts w:hint="eastAsia" w:ascii="宋体" w:hAnsi="宋体" w:eastAsia="宋体"/>
          <w:sz w:val="24"/>
          <w:highlight w:val="none"/>
        </w:rPr>
        <w:t>联合协议中</w:t>
      </w:r>
      <w:r>
        <w:rPr>
          <w:rFonts w:ascii="宋体" w:hAnsi="宋体" w:eastAsia="宋体"/>
          <w:sz w:val="24"/>
          <w:highlight w:val="none"/>
        </w:rPr>
        <w:t>应写明小型、微型企业的协议合同金额占到</w:t>
      </w:r>
      <w:r>
        <w:rPr>
          <w:rFonts w:hint="eastAsia" w:ascii="宋体" w:hAnsi="宋体" w:eastAsia="宋体"/>
          <w:sz w:val="24"/>
          <w:highlight w:val="none"/>
        </w:rPr>
        <w:t>联合协议</w:t>
      </w:r>
      <w:r>
        <w:rPr>
          <w:rFonts w:ascii="宋体" w:hAnsi="宋体" w:eastAsia="宋体"/>
          <w:sz w:val="24"/>
          <w:highlight w:val="none"/>
        </w:rPr>
        <w:t>投标总金额的比例。</w:t>
      </w:r>
    </w:p>
    <w:p w14:paraId="56FCAEB9">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5.6</w:t>
      </w:r>
      <w:r>
        <w:rPr>
          <w:rFonts w:hint="eastAsia" w:ascii="宋体" w:hAnsi="宋体" w:eastAsia="宋体"/>
          <w:sz w:val="24"/>
          <w:highlight w:val="none"/>
        </w:rPr>
        <w:t>联合体中有同类资质的供应商按照联合体分工承担相同工作的，</w:t>
      </w:r>
      <w:r>
        <w:rPr>
          <w:rFonts w:ascii="宋体" w:hAnsi="宋体" w:eastAsia="宋体"/>
          <w:sz w:val="24"/>
          <w:highlight w:val="none"/>
        </w:rPr>
        <w:t>应当按照</w:t>
      </w:r>
      <w:r>
        <w:rPr>
          <w:rFonts w:hint="eastAsia" w:ascii="宋体" w:hAnsi="宋体" w:eastAsia="宋体"/>
          <w:sz w:val="24"/>
          <w:highlight w:val="none"/>
        </w:rPr>
        <w:t>资质等级较低的供应商确定资质等级。</w:t>
      </w:r>
    </w:p>
    <w:p w14:paraId="48F5557D">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sz w:val="24"/>
          <w:highlight w:val="none"/>
        </w:rPr>
        <w:t>投标无效</w:t>
      </w:r>
      <w:r>
        <w:rPr>
          <w:rFonts w:ascii="宋体" w:hAnsi="宋体" w:eastAsia="宋体"/>
          <w:sz w:val="24"/>
          <w:highlight w:val="none"/>
        </w:rPr>
        <w:t>。</w:t>
      </w:r>
    </w:p>
    <w:p w14:paraId="6E5D7238">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5.8对联合体投标的其他资格要求见</w:t>
      </w:r>
      <w:r>
        <w:rPr>
          <w:rFonts w:hint="eastAsia" w:ascii="宋体" w:hAnsi="宋体" w:eastAsia="宋体"/>
          <w:sz w:val="24"/>
          <w:highlight w:val="none"/>
        </w:rPr>
        <w:t>申请人的资格要求</w:t>
      </w:r>
      <w:r>
        <w:rPr>
          <w:rFonts w:ascii="宋体" w:hAnsi="宋体" w:eastAsia="宋体"/>
          <w:sz w:val="24"/>
          <w:highlight w:val="none"/>
        </w:rPr>
        <w:t>。</w:t>
      </w:r>
    </w:p>
    <w:p w14:paraId="04185790">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2.资金落实情况</w:t>
      </w:r>
    </w:p>
    <w:p w14:paraId="5BCCC07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本</w:t>
      </w:r>
      <w:r>
        <w:rPr>
          <w:rFonts w:hint="eastAsia" w:ascii="宋体" w:hAnsi="宋体" w:eastAsia="宋体"/>
          <w:sz w:val="24"/>
          <w:highlight w:val="none"/>
        </w:rPr>
        <w:t>项目</w:t>
      </w:r>
      <w:r>
        <w:rPr>
          <w:rFonts w:hint="eastAsia" w:asciiTheme="minorEastAsia" w:hAnsiTheme="minorEastAsia" w:eastAsiaTheme="minorEastAsia"/>
          <w:sz w:val="24"/>
          <w:highlight w:val="none"/>
        </w:rPr>
        <w:t>的采购人已获得足以支付本次招标后所签订的合同项下的资金。</w:t>
      </w:r>
    </w:p>
    <w:p w14:paraId="09BD3C4D">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3.投标费用</w:t>
      </w:r>
    </w:p>
    <w:p w14:paraId="76A040E5">
      <w:pPr>
        <w:spacing w:line="360" w:lineRule="auto"/>
        <w:ind w:firstLine="435"/>
        <w:rPr>
          <w:rFonts w:hint="eastAsia" w:ascii="宋体" w:hAnsi="宋体" w:eastAsia="宋体"/>
          <w:sz w:val="24"/>
          <w:highlight w:val="none"/>
        </w:rPr>
      </w:pPr>
      <w:r>
        <w:rPr>
          <w:rFonts w:hint="eastAsia" w:ascii="宋体" w:hAnsi="宋体" w:eastAsia="宋体"/>
          <w:sz w:val="24"/>
          <w:highlight w:val="none"/>
        </w:rPr>
        <w:t>不论投标的结果如何，投标人应承担所有与准备和参加投标有关的费用。</w:t>
      </w:r>
    </w:p>
    <w:p w14:paraId="0863BD93">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4.适用法律</w:t>
      </w:r>
    </w:p>
    <w:p w14:paraId="01BC5E9D">
      <w:pPr>
        <w:spacing w:line="360" w:lineRule="auto"/>
        <w:ind w:firstLine="435"/>
        <w:rPr>
          <w:rFonts w:hint="eastAsia" w:asciiTheme="minorEastAsia" w:hAnsiTheme="minorEastAsia" w:eastAsiaTheme="minorEastAsia"/>
          <w:b/>
          <w:sz w:val="24"/>
          <w:highlight w:val="none"/>
        </w:rPr>
      </w:pPr>
      <w:r>
        <w:rPr>
          <w:rFonts w:hint="eastAsia" w:ascii="宋体" w:hAnsi="宋体" w:eastAsia="宋体"/>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35F4974F">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5.招标文件构成</w:t>
      </w:r>
    </w:p>
    <w:p w14:paraId="04BB3167">
      <w:pPr>
        <w:spacing w:line="360" w:lineRule="auto"/>
        <w:ind w:firstLine="435"/>
        <w:rPr>
          <w:rFonts w:hint="eastAsia" w:ascii="宋体" w:hAnsi="宋体" w:eastAsia="宋体"/>
          <w:sz w:val="24"/>
          <w:highlight w:val="none"/>
        </w:rPr>
      </w:pPr>
      <w:r>
        <w:rPr>
          <w:rFonts w:hint="eastAsia" w:ascii="宋体" w:hAnsi="宋体" w:eastAsia="宋体"/>
          <w:sz w:val="24"/>
          <w:highlight w:val="none"/>
        </w:rPr>
        <w:t>5.1招标文件包括下列内容：</w:t>
      </w:r>
    </w:p>
    <w:p w14:paraId="624D2851">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第一章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招标公告</w:t>
      </w:r>
    </w:p>
    <w:p w14:paraId="5686ED98">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asciiTheme="minorEastAsia" w:hAnsiTheme="minorEastAsia" w:eastAsiaTheme="minorEastAsia"/>
          <w:sz w:val="24"/>
          <w:highlight w:val="none"/>
        </w:rPr>
        <w:t xml:space="preserve">  投标人须知</w:t>
      </w:r>
    </w:p>
    <w:p w14:paraId="37F0B6E3">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采购需求</w:t>
      </w:r>
    </w:p>
    <w:p w14:paraId="7F16EBF2">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asciiTheme="minorEastAsia" w:hAnsiTheme="minorEastAsia" w:eastAsiaTheme="minorEastAsia"/>
          <w:sz w:val="24"/>
          <w:highlight w:val="none"/>
        </w:rPr>
        <w:t xml:space="preserve">  评标</w:t>
      </w:r>
      <w:r>
        <w:rPr>
          <w:rFonts w:hint="eastAsia" w:asciiTheme="minorEastAsia" w:hAnsiTheme="minorEastAsia" w:eastAsiaTheme="minorEastAsia"/>
          <w:sz w:val="24"/>
          <w:highlight w:val="none"/>
        </w:rPr>
        <w:t>方法</w:t>
      </w:r>
      <w:r>
        <w:rPr>
          <w:rFonts w:asciiTheme="minorEastAsia" w:hAnsiTheme="minorEastAsia" w:eastAsiaTheme="minorEastAsia"/>
          <w:sz w:val="24"/>
          <w:highlight w:val="none"/>
        </w:rPr>
        <w:t>和标准</w:t>
      </w:r>
    </w:p>
    <w:p w14:paraId="2BB1EF43">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政府采购合同</w:t>
      </w:r>
    </w:p>
    <w:p w14:paraId="25F72446">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第六章</w:t>
      </w:r>
      <w:r>
        <w:rPr>
          <w:rFonts w:asciiTheme="minorEastAsia" w:hAnsiTheme="minorEastAsia" w:eastAsiaTheme="minorEastAsia"/>
          <w:sz w:val="24"/>
          <w:highlight w:val="none"/>
        </w:rPr>
        <w:t xml:space="preserve">  投标文件格式</w:t>
      </w:r>
    </w:p>
    <w:p w14:paraId="60A03CF3">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第七章</w:t>
      </w:r>
      <w:r>
        <w:rPr>
          <w:rFonts w:asciiTheme="minorEastAsia" w:hAnsiTheme="minorEastAsia" w:eastAsiaTheme="minorEastAsia"/>
          <w:sz w:val="24"/>
          <w:highlight w:val="none"/>
        </w:rPr>
        <w:t xml:space="preserve">  政府采购</w:t>
      </w:r>
      <w:r>
        <w:rPr>
          <w:rFonts w:hint="eastAsia" w:asciiTheme="minorEastAsia" w:hAnsiTheme="minorEastAsia" w:eastAsiaTheme="minorEastAsia"/>
          <w:sz w:val="24"/>
          <w:highlight w:val="none"/>
        </w:rPr>
        <w:t>询问函和</w:t>
      </w:r>
      <w:r>
        <w:rPr>
          <w:rFonts w:asciiTheme="minorEastAsia" w:hAnsiTheme="minorEastAsia" w:eastAsiaTheme="minorEastAsia"/>
          <w:sz w:val="24"/>
          <w:highlight w:val="none"/>
        </w:rPr>
        <w:t>质疑函范本</w:t>
      </w:r>
    </w:p>
    <w:p w14:paraId="0ACDD8C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现场</w:t>
      </w:r>
      <w:r>
        <w:rPr>
          <w:rFonts w:hint="eastAsia" w:asciiTheme="minorEastAsia" w:hAnsiTheme="minorEastAsia" w:eastAsiaTheme="minorEastAsia"/>
          <w:sz w:val="24"/>
          <w:highlight w:val="none"/>
        </w:rPr>
        <w:t>考察（标前答疑会）</w:t>
      </w:r>
      <w:r>
        <w:rPr>
          <w:rFonts w:asciiTheme="minorEastAsia" w:hAnsiTheme="minorEastAsia" w:eastAsiaTheme="minorEastAsia"/>
          <w:sz w:val="24"/>
          <w:highlight w:val="none"/>
        </w:rPr>
        <w:t>及相关事项见</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w:t>
      </w:r>
    </w:p>
    <w:p w14:paraId="12B14CC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原则上采购人、采购代理机构不要求投标人提供样品。仅凭书面方式不能准确描述采购需求，或者需要对样品进行主观判断以确认是否满足采购需求等特殊情况除外。</w:t>
      </w:r>
    </w:p>
    <w:p w14:paraId="7A693FD2">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如需提供样品，对样品相关要求见</w:t>
      </w:r>
      <w:r>
        <w:rPr>
          <w:rFonts w:hint="eastAsia" w:asciiTheme="minorEastAsia" w:hAnsiTheme="minorEastAsia" w:eastAsiaTheme="minorEastAsia"/>
          <w:sz w:val="24"/>
          <w:highlight w:val="none"/>
        </w:rPr>
        <w:t>采购需求</w:t>
      </w:r>
      <w:r>
        <w:rPr>
          <w:rFonts w:asciiTheme="minorEastAsia" w:hAnsiTheme="minorEastAsia" w:eastAsiaTheme="minorEastAsia"/>
          <w:sz w:val="24"/>
          <w:highlight w:val="none"/>
        </w:rPr>
        <w:t>，对样品的评审方法及评审标准见招标文件第</w:t>
      </w: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章。</w:t>
      </w:r>
    </w:p>
    <w:p w14:paraId="412C200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投标人应认真阅读招标文件所有的事项、格式、条款和技术规范等。</w:t>
      </w:r>
    </w:p>
    <w:p w14:paraId="1A2E700C">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6.招标文件的澄清与修改</w:t>
      </w:r>
    </w:p>
    <w:p w14:paraId="00E7D48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投标人如对招标文件内容有疑问，必须在</w:t>
      </w:r>
      <w:r>
        <w:rPr>
          <w:rFonts w:ascii="宋体" w:hAnsi="宋体" w:eastAsia="宋体"/>
          <w:sz w:val="24"/>
          <w:highlight w:val="none"/>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询问</w:t>
      </w:r>
      <w:r>
        <w:rPr>
          <w:rFonts w:asciiTheme="minorEastAsia" w:hAnsiTheme="minorEastAsia" w:eastAsiaTheme="minorEastAsia"/>
          <w:sz w:val="24"/>
        </w:rPr>
        <w:t>截止时间前提交给采购代理机构</w:t>
      </w:r>
      <w:r>
        <w:rPr>
          <w:rFonts w:asciiTheme="minorEastAsia" w:hAnsiTheme="minorEastAsia" w:eastAsiaTheme="minorEastAsia"/>
          <w:sz w:val="24"/>
          <w:highlight w:val="none"/>
        </w:rPr>
        <w:t>。</w:t>
      </w:r>
    </w:p>
    <w:p w14:paraId="74DA064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2采购人可主动地或在答复投标人提出的询问时对招标文件进行澄清与修改。</w:t>
      </w:r>
      <w:r>
        <w:rPr>
          <w:rFonts w:asciiTheme="minorEastAsia" w:hAnsiTheme="minorEastAsia" w:eastAsiaTheme="minorEastAsia"/>
          <w:sz w:val="24"/>
          <w:highlight w:val="none"/>
        </w:rPr>
        <w:t>采购代理机构将</w:t>
      </w:r>
      <w:r>
        <w:rPr>
          <w:rFonts w:hint="eastAsia" w:asciiTheme="minorEastAsia" w:hAnsiTheme="minorEastAsia" w:eastAsiaTheme="minorEastAsia"/>
          <w:sz w:val="24"/>
          <w:highlight w:val="none"/>
        </w:rPr>
        <w:t>在</w:t>
      </w:r>
      <w:r>
        <w:rPr>
          <w:rFonts w:hint="eastAsia" w:asciiTheme="minorEastAsia" w:hAnsiTheme="minorEastAsia" w:eastAsiaTheme="minorEastAsia"/>
          <w:sz w:val="24"/>
          <w:highlight w:val="none"/>
          <w:lang w:eastAsia="zh-CN"/>
        </w:rPr>
        <w:t>滁州市妇幼保健计划生育服务中心网站</w:t>
      </w:r>
      <w:r>
        <w:rPr>
          <w:rFonts w:hint="eastAsia" w:asciiTheme="minorEastAsia" w:hAnsiTheme="minorEastAsia" w:eastAsiaTheme="minorEastAsia"/>
          <w:sz w:val="24"/>
          <w:highlight w:val="none"/>
        </w:rPr>
        <w:t>以发布更正公告的方式</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澄清或修改招标文件，更正公告的</w:t>
      </w:r>
      <w:r>
        <w:rPr>
          <w:rFonts w:asciiTheme="minorEastAsia" w:hAnsiTheme="minorEastAsia" w:eastAsiaTheme="minorEastAsia"/>
          <w:sz w:val="24"/>
          <w:highlight w:val="none"/>
        </w:rPr>
        <w:t>内容</w:t>
      </w:r>
      <w:r>
        <w:rPr>
          <w:rFonts w:hint="eastAsia" w:asciiTheme="minorEastAsia" w:hAnsiTheme="minorEastAsia" w:eastAsiaTheme="minorEastAsia"/>
          <w:sz w:val="24"/>
          <w:highlight w:val="none"/>
        </w:rPr>
        <w:t>作</w:t>
      </w:r>
      <w:r>
        <w:rPr>
          <w:rFonts w:asciiTheme="minorEastAsia" w:hAnsiTheme="minorEastAsia" w:eastAsiaTheme="minorEastAsia"/>
          <w:sz w:val="24"/>
          <w:highlight w:val="none"/>
        </w:rPr>
        <w:t>为招标文件</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组成部分，对投标人起约束作用</w:t>
      </w:r>
      <w:r>
        <w:rPr>
          <w:rFonts w:hint="eastAsia" w:asciiTheme="minorEastAsia" w:hAnsiTheme="minorEastAsia" w:eastAsiaTheme="minorEastAsia"/>
          <w:sz w:val="24"/>
          <w:highlight w:val="none"/>
        </w:rPr>
        <w:t>。投标人应主动上网查询。采购代理机构不承担投标人未及时关注相关信息引发的相关责任。</w:t>
      </w:r>
    </w:p>
    <w:p w14:paraId="4EDB1EE2">
      <w:pPr>
        <w:spacing w:line="360" w:lineRule="auto"/>
        <w:ind w:firstLine="435"/>
        <w:rPr>
          <w:rFonts w:hint="eastAsia" w:ascii="宋体" w:hAnsi="宋体" w:eastAsia="宋体"/>
          <w:sz w:val="24"/>
          <w:highlight w:val="none"/>
        </w:rPr>
      </w:pPr>
      <w:r>
        <w:rPr>
          <w:rFonts w:hint="eastAsia" w:ascii="宋体" w:hAnsi="宋体" w:eastAsia="宋体"/>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4AD84A67">
      <w:pPr>
        <w:spacing w:line="360" w:lineRule="auto"/>
        <w:ind w:firstLine="435"/>
        <w:rPr>
          <w:rFonts w:hint="eastAsia" w:asciiTheme="minorEastAsia" w:hAnsiTheme="minorEastAsia" w:eastAsiaTheme="minorEastAsia"/>
          <w:i/>
          <w:iCs/>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对于</w:t>
      </w:r>
      <w:r>
        <w:rPr>
          <w:rFonts w:ascii="宋体" w:hAnsi="宋体" w:eastAsia="宋体"/>
          <w:sz w:val="24"/>
          <w:highlight w:val="none"/>
        </w:rPr>
        <w:t>没有</w:t>
      </w:r>
      <w:r>
        <w:rPr>
          <w:rFonts w:asciiTheme="minorEastAsia" w:hAnsiTheme="minorEastAsia" w:eastAsiaTheme="minorEastAsia"/>
          <w:sz w:val="24"/>
          <w:highlight w:val="none"/>
        </w:rPr>
        <w:t>提出</w:t>
      </w:r>
      <w:r>
        <w:rPr>
          <w:rFonts w:hint="eastAsia" w:asciiTheme="minorEastAsia" w:hAnsiTheme="minorEastAsia" w:eastAsiaTheme="minorEastAsia"/>
          <w:sz w:val="24"/>
          <w:highlight w:val="none"/>
        </w:rPr>
        <w:t>疑问</w:t>
      </w:r>
      <w:r>
        <w:rPr>
          <w:rFonts w:asciiTheme="minorEastAsia" w:hAnsiTheme="minorEastAsia" w:eastAsiaTheme="minorEastAsia"/>
          <w:sz w:val="24"/>
          <w:highlight w:val="none"/>
        </w:rPr>
        <w:t>又参与了</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项目投标的</w:t>
      </w:r>
      <w:r>
        <w:rPr>
          <w:rFonts w:hint="eastAsia" w:asciiTheme="minorEastAsia" w:hAnsiTheme="minorEastAsia" w:eastAsiaTheme="minorEastAsia"/>
          <w:sz w:val="24"/>
          <w:highlight w:val="none"/>
        </w:rPr>
        <w:t>投标人</w:t>
      </w:r>
      <w:r>
        <w:rPr>
          <w:rFonts w:asciiTheme="minorEastAsia" w:hAnsiTheme="minorEastAsia" w:eastAsiaTheme="minorEastAsia"/>
          <w:sz w:val="24"/>
          <w:highlight w:val="none"/>
        </w:rPr>
        <w:t>将被视为完全认同</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招标文件（含</w:t>
      </w:r>
      <w:r>
        <w:rPr>
          <w:rFonts w:hint="eastAsia" w:asciiTheme="minorEastAsia" w:hAnsiTheme="minorEastAsia" w:eastAsiaTheme="minorEastAsia"/>
          <w:sz w:val="24"/>
          <w:highlight w:val="none"/>
        </w:rPr>
        <w:t>更正公告的</w:t>
      </w:r>
      <w:r>
        <w:rPr>
          <w:rFonts w:asciiTheme="minorEastAsia" w:hAnsiTheme="minorEastAsia" w:eastAsiaTheme="minorEastAsia"/>
          <w:sz w:val="24"/>
          <w:highlight w:val="none"/>
        </w:rPr>
        <w:t>内容）</w:t>
      </w:r>
      <w:r>
        <w:rPr>
          <w:rFonts w:hint="eastAsia" w:asciiTheme="minorEastAsia" w:hAnsiTheme="minorEastAsia" w:eastAsiaTheme="minorEastAsia"/>
          <w:i/>
          <w:sz w:val="24"/>
          <w:highlight w:val="none"/>
        </w:rPr>
        <w:t>。</w:t>
      </w:r>
    </w:p>
    <w:p w14:paraId="61E7A326">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7.投标范围及投标文件中标准和计量单位的使用</w:t>
      </w:r>
    </w:p>
    <w:p w14:paraId="6906EEF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.1</w:t>
      </w:r>
      <w:r>
        <w:rPr>
          <w:rFonts w:ascii="宋体" w:hAnsi="宋体" w:eastAsia="宋体"/>
          <w:sz w:val="24"/>
          <w:highlight w:val="none"/>
        </w:rPr>
        <w:t>项目</w:t>
      </w:r>
      <w:r>
        <w:rPr>
          <w:rFonts w:asciiTheme="minorEastAsia" w:hAnsiTheme="minorEastAsia" w:eastAsiaTheme="minorEastAsia"/>
          <w:sz w:val="24"/>
          <w:highlight w:val="none"/>
        </w:rPr>
        <w:t>有分包的，投标人可对招标文件其中某一个或几个分包进行投标，除非在</w:t>
      </w:r>
      <w:r>
        <w:rPr>
          <w:rFonts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中另有规定。</w:t>
      </w:r>
    </w:p>
    <w:p w14:paraId="3AE25F4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.2投标人应当对所投分包招标文件中“</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需求”所列的所有内容进行投标，如仅响应</w:t>
      </w:r>
      <w:r>
        <w:rPr>
          <w:rFonts w:hint="eastAsia" w:asciiTheme="minorEastAsia" w:hAnsiTheme="minorEastAsia" w:eastAsiaTheme="minorEastAsia"/>
          <w:sz w:val="24"/>
          <w:highlight w:val="none"/>
        </w:rPr>
        <w:t>所投包别</w:t>
      </w:r>
      <w:r>
        <w:rPr>
          <w:rFonts w:asciiTheme="minorEastAsia" w:hAnsiTheme="minorEastAsia" w:eastAsiaTheme="minorEastAsia"/>
          <w:sz w:val="24"/>
          <w:highlight w:val="none"/>
        </w:rPr>
        <w:t>中的部分内容，其</w:t>
      </w:r>
      <w:r>
        <w:rPr>
          <w:rFonts w:hint="eastAsia" w:asciiTheme="minorEastAsia" w:hAnsiTheme="minorEastAsia" w:eastAsiaTheme="minorEastAsia"/>
          <w:sz w:val="24"/>
          <w:highlight w:val="none"/>
        </w:rPr>
        <w:t>所投包别的</w:t>
      </w:r>
      <w:r>
        <w:rPr>
          <w:rFonts w:asciiTheme="minorEastAsia" w:hAnsiTheme="minorEastAsia" w:eastAsiaTheme="minorEastAsia"/>
          <w:sz w:val="24"/>
          <w:highlight w:val="none"/>
        </w:rPr>
        <w:t>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5B9C917B">
      <w:pPr>
        <w:spacing w:line="360" w:lineRule="auto"/>
        <w:ind w:firstLine="435"/>
        <w:rPr>
          <w:rFonts w:hint="eastAsia" w:asciiTheme="minorEastAsia" w:hAnsiTheme="minorEastAsia" w:eastAsiaTheme="minorEastAsia"/>
          <w:sz w:val="24"/>
          <w:highlight w:val="none"/>
        </w:rPr>
      </w:pPr>
      <w:bookmarkStart w:id="29" w:name="_Hlk16458980"/>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.3无论招标文件中是否要求，</w:t>
      </w:r>
      <w:r>
        <w:rPr>
          <w:rFonts w:hint="eastAsia" w:asciiTheme="minorEastAsia" w:hAnsiTheme="minorEastAsia" w:eastAsiaTheme="minorEastAsia"/>
          <w:sz w:val="24"/>
          <w:highlight w:val="none"/>
        </w:rPr>
        <w:t>投标人所投货物及伴随的服务和工程均应符合国家强制性标准。</w:t>
      </w:r>
    </w:p>
    <w:bookmarkEnd w:id="29"/>
    <w:p w14:paraId="366F749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投标人与采购</w:t>
      </w:r>
      <w:r>
        <w:rPr>
          <w:rFonts w:hint="eastAsia" w:asciiTheme="minorEastAsia" w:hAnsiTheme="minorEastAsia" w:eastAsiaTheme="minorEastAsia"/>
          <w:sz w:val="24"/>
          <w:highlight w:val="none"/>
        </w:rPr>
        <w:t>代理</w:t>
      </w:r>
      <w:r>
        <w:rPr>
          <w:rFonts w:asciiTheme="minorEastAsia" w:hAnsiTheme="minorEastAsia" w:eastAsiaTheme="minorEastAsia"/>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0BE9CBA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除</w:t>
      </w:r>
      <w:r>
        <w:rPr>
          <w:rFonts w:ascii="宋体" w:hAnsi="宋体" w:eastAsia="宋体"/>
          <w:sz w:val="24"/>
          <w:highlight w:val="none"/>
        </w:rPr>
        <w:t>招标文件</w:t>
      </w:r>
      <w:r>
        <w:rPr>
          <w:rFonts w:asciiTheme="minorEastAsia" w:hAnsiTheme="minorEastAsia" w:eastAsiaTheme="minorEastAsia"/>
          <w:sz w:val="24"/>
          <w:highlight w:val="none"/>
        </w:rPr>
        <w:t>中有特殊要求外，投标文件中所使用的计量单位，应采用中华人民共和国法定计量单位。</w:t>
      </w:r>
    </w:p>
    <w:p w14:paraId="2CE2E6EB">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投标文件构成</w:t>
      </w:r>
      <w:r>
        <w:rPr>
          <w:rFonts w:hint="eastAsia" w:asciiTheme="minorEastAsia" w:hAnsiTheme="minorEastAsia" w:eastAsiaTheme="minorEastAsia"/>
          <w:b/>
          <w:sz w:val="24"/>
          <w:lang w:eastAsia="zh-CN"/>
        </w:rPr>
        <w:t>（正本</w:t>
      </w:r>
      <w:r>
        <w:rPr>
          <w:rFonts w:hint="eastAsia" w:asciiTheme="minorEastAsia" w:hAnsiTheme="minorEastAsia" w:eastAsiaTheme="minorEastAsia"/>
          <w:b/>
          <w:sz w:val="24"/>
          <w:lang w:val="en-US" w:eastAsia="zh-CN"/>
        </w:rPr>
        <w:t>1份、副本2份</w:t>
      </w:r>
      <w:r>
        <w:rPr>
          <w:rFonts w:hint="eastAsia" w:asciiTheme="minorEastAsia" w:hAnsiTheme="minorEastAsia" w:eastAsiaTheme="minorEastAsia"/>
          <w:b/>
          <w:sz w:val="24"/>
          <w:lang w:eastAsia="zh-CN"/>
        </w:rPr>
        <w:t>）</w:t>
      </w:r>
    </w:p>
    <w:p w14:paraId="6E77116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w:t>
      </w:r>
      <w:r>
        <w:rPr>
          <w:rFonts w:asciiTheme="minorEastAsia" w:hAnsiTheme="minorEastAsia" w:eastAsiaTheme="minorEastAsia"/>
          <w:sz w:val="24"/>
          <w:highlight w:val="none"/>
        </w:rPr>
        <w:t>.1</w:t>
      </w:r>
      <w:r>
        <w:rPr>
          <w:rFonts w:ascii="宋体" w:hAnsi="宋体" w:eastAsia="宋体"/>
          <w:sz w:val="24"/>
          <w:highlight w:val="none"/>
        </w:rPr>
        <w:t>投标人</w:t>
      </w:r>
      <w:r>
        <w:rPr>
          <w:rFonts w:asciiTheme="minorEastAsia" w:hAnsiTheme="minorEastAsia" w:eastAsiaTheme="minorEastAsia"/>
          <w:sz w:val="24"/>
          <w:highlight w:val="none"/>
        </w:rPr>
        <w:t>应完整地按招标文件提供的投标文件格式及要求</w:t>
      </w:r>
      <w:r>
        <w:rPr>
          <w:rFonts w:hint="eastAsia" w:asciiTheme="minorEastAsia" w:hAnsiTheme="minorEastAsia" w:eastAsiaTheme="minorEastAsia"/>
          <w:sz w:val="24"/>
          <w:highlight w:val="none"/>
        </w:rPr>
        <w:t>编</w:t>
      </w:r>
      <w:r>
        <w:rPr>
          <w:rFonts w:asciiTheme="minorEastAsia" w:hAnsiTheme="minorEastAsia" w:eastAsiaTheme="minorEastAsia"/>
          <w:sz w:val="24"/>
          <w:highlight w:val="none"/>
        </w:rPr>
        <w:t>写投标文件，</w:t>
      </w:r>
      <w:r>
        <w:rPr>
          <w:rFonts w:hint="eastAsia" w:asciiTheme="minorEastAsia" w:hAnsiTheme="minorEastAsia" w:eastAsiaTheme="minorEastAsia"/>
          <w:sz w:val="24"/>
          <w:highlight w:val="none"/>
        </w:rPr>
        <w:t>具体内容详见本项目投标文件格式的相关内容。</w:t>
      </w:r>
    </w:p>
    <w:p w14:paraId="673902B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8.2</w:t>
      </w:r>
      <w:r>
        <w:rPr>
          <w:rFonts w:ascii="宋体" w:hAnsi="宋体" w:eastAsia="宋体"/>
          <w:sz w:val="24"/>
          <w:highlight w:val="none"/>
        </w:rPr>
        <w:t>投标人</w:t>
      </w:r>
      <w:r>
        <w:rPr>
          <w:rFonts w:asciiTheme="minorEastAsia" w:hAnsiTheme="minorEastAsia" w:eastAsiaTheme="minorEastAsia"/>
          <w:sz w:val="24"/>
          <w:highlight w:val="none"/>
        </w:rPr>
        <w:t>应提交</w:t>
      </w:r>
      <w:r>
        <w:rPr>
          <w:rFonts w:hint="eastAsia" w:asciiTheme="minorEastAsia" w:hAnsiTheme="minorEastAsia" w:eastAsiaTheme="minorEastAsia"/>
          <w:sz w:val="24"/>
          <w:highlight w:val="none"/>
        </w:rPr>
        <w:t>招标文件要求的</w:t>
      </w:r>
      <w:r>
        <w:rPr>
          <w:rFonts w:asciiTheme="minorEastAsia" w:hAnsiTheme="minorEastAsia" w:eastAsiaTheme="minorEastAsia"/>
          <w:sz w:val="24"/>
          <w:highlight w:val="none"/>
        </w:rPr>
        <w:t>证明文件，证明其投标内容符合招标文件规定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该证明文件是投标文件的一部分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证明文件</w:t>
      </w:r>
      <w:r>
        <w:rPr>
          <w:rFonts w:hint="eastAsia" w:asciiTheme="minorEastAsia" w:hAnsiTheme="minorEastAsia" w:eastAsiaTheme="minorEastAsia"/>
          <w:sz w:val="24"/>
          <w:highlight w:val="none"/>
        </w:rPr>
        <w:t>形式</w:t>
      </w:r>
      <w:r>
        <w:rPr>
          <w:rFonts w:asciiTheme="minorEastAsia" w:hAnsiTheme="minorEastAsia" w:eastAsiaTheme="minorEastAsia"/>
          <w:sz w:val="24"/>
          <w:highlight w:val="none"/>
        </w:rPr>
        <w:t>可以是文字资料、图纸和数据</w:t>
      </w:r>
      <w:bookmarkStart w:id="30" w:name="_Hlk11703583"/>
      <w:r>
        <w:rPr>
          <w:rFonts w:hint="eastAsia" w:asciiTheme="minorEastAsia" w:hAnsiTheme="minorEastAsia" w:eastAsiaTheme="minorEastAsia"/>
          <w:sz w:val="24"/>
          <w:highlight w:val="none"/>
        </w:rPr>
        <w:t>等。</w:t>
      </w:r>
    </w:p>
    <w:bookmarkEnd w:id="30"/>
    <w:p w14:paraId="0159FFA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8.3</w:t>
      </w:r>
      <w:r>
        <w:rPr>
          <w:rFonts w:asciiTheme="minorEastAsia" w:hAnsiTheme="minorEastAsia" w:eastAsiaTheme="minorEastAsia"/>
          <w:sz w:val="24"/>
          <w:highlight w:val="none"/>
        </w:rPr>
        <w:t>为保证</w:t>
      </w:r>
      <w:r>
        <w:rPr>
          <w:rFonts w:ascii="宋体" w:hAnsi="宋体" w:eastAsia="宋体"/>
          <w:sz w:val="24"/>
          <w:highlight w:val="none"/>
        </w:rPr>
        <w:t>公平</w:t>
      </w:r>
      <w:r>
        <w:rPr>
          <w:rFonts w:asciiTheme="minorEastAsia" w:hAnsiTheme="minorEastAsia" w:eastAsiaTheme="minorEastAsia"/>
          <w:sz w:val="24"/>
          <w:highlight w:val="none"/>
        </w:rPr>
        <w:t>公正，除非另有规定或说明，投标人对同一项目投标时，不得同时提供</w:t>
      </w:r>
      <w:r>
        <w:rPr>
          <w:rFonts w:hint="eastAsia" w:asciiTheme="minorEastAsia" w:hAnsiTheme="minorEastAsia" w:eastAsiaTheme="minorEastAsia"/>
          <w:sz w:val="24"/>
          <w:highlight w:val="none"/>
        </w:rPr>
        <w:t>备选</w:t>
      </w:r>
      <w:r>
        <w:rPr>
          <w:rFonts w:asciiTheme="minorEastAsia" w:hAnsiTheme="minorEastAsia" w:eastAsiaTheme="minorEastAsia"/>
          <w:sz w:val="24"/>
          <w:highlight w:val="none"/>
        </w:rPr>
        <w:t>投标方案。</w:t>
      </w:r>
    </w:p>
    <w:p w14:paraId="0E109A5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lang w:val="en-US" w:eastAsia="zh-CN"/>
        </w:rPr>
        <w:t>8.4</w:t>
      </w:r>
      <w:r>
        <w:rPr>
          <w:rFonts w:ascii="宋体" w:hAnsi="宋体" w:eastAsia="宋体"/>
          <w:sz w:val="24"/>
          <w:highlight w:val="none"/>
        </w:rPr>
        <w:t>投标人</w:t>
      </w:r>
      <w:r>
        <w:rPr>
          <w:rFonts w:hint="eastAsia" w:asciiTheme="minorEastAsia" w:hAnsiTheme="minorEastAsia" w:eastAsiaTheme="minorEastAsia"/>
          <w:sz w:val="24"/>
          <w:lang w:val="en-US" w:eastAsia="zh-CN"/>
        </w:rPr>
        <w:t>应完整地按招标文件要求将投标文件按顺序装订成册，正、副本一起密封在档案袋中进行递交，否则投标文件可能将被拒绝。</w:t>
      </w:r>
    </w:p>
    <w:p w14:paraId="1362F83B">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投标报价</w:t>
      </w:r>
    </w:p>
    <w:p w14:paraId="1D49CDE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.1投标人的报价应当包括满足本次招标全部采购需求</w:t>
      </w:r>
      <w:r>
        <w:rPr>
          <w:rFonts w:hint="eastAsia" w:asciiTheme="minorEastAsia" w:hAnsiTheme="minorEastAsia" w:eastAsiaTheme="minorEastAsia"/>
          <w:sz w:val="24"/>
          <w:highlight w:val="none"/>
        </w:rPr>
        <w:t>。除招标文件另有规定外，所有投标均应以人民币报价。投标人的投标报价应遵守《中华人民共和国价格法》。</w:t>
      </w:r>
    </w:p>
    <w:p w14:paraId="0D4471E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.2投标人报价超过招标文件规定的预算金额或者分项、分包最高限价，其投标将被认定为</w:t>
      </w:r>
      <w:r>
        <w:rPr>
          <w:rFonts w:asciiTheme="minorEastAsia" w:hAnsiTheme="minorEastAsia" w:eastAsiaTheme="minorEastAsia"/>
          <w:b/>
          <w:bCs/>
          <w:sz w:val="24"/>
          <w:highlight w:val="none"/>
        </w:rPr>
        <w:t>投标无效</w:t>
      </w:r>
      <w:r>
        <w:rPr>
          <w:rFonts w:asciiTheme="minorEastAsia" w:hAnsiTheme="minorEastAsia" w:eastAsiaTheme="minorEastAsia"/>
          <w:sz w:val="24"/>
          <w:highlight w:val="none"/>
        </w:rPr>
        <w:t>。</w:t>
      </w:r>
    </w:p>
    <w:p w14:paraId="70BA0D1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3投标报价</w:t>
      </w:r>
      <w:r>
        <w:rPr>
          <w:rFonts w:asciiTheme="minorEastAsia" w:hAnsiTheme="minorEastAsia" w:eastAsiaTheme="minorEastAsia"/>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109D8A8F">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highlight w:val="none"/>
        </w:rPr>
        <w:t>必要时提交相关证明材料；投标人不能证明其报价合理性的，其投标将被认定为</w:t>
      </w:r>
      <w:r>
        <w:rPr>
          <w:rFonts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79AA6B2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采购人不接受具有附加条件的报价。</w:t>
      </w:r>
    </w:p>
    <w:p w14:paraId="2B2F6D99">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投标保证金</w:t>
      </w:r>
    </w:p>
    <w:p w14:paraId="1A75B16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10.1本项目不收取投标保证金。</w:t>
      </w:r>
    </w:p>
    <w:p w14:paraId="7888CCE6">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投标有效期</w:t>
      </w:r>
    </w:p>
    <w:p w14:paraId="7368FFE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11.1投标有效期为从投标截止之日算起的日历天数，投标有效期详见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3C9BDB7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48E462C9">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521D91A">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投标文件的递交、修改与撤回</w:t>
      </w:r>
    </w:p>
    <w:p w14:paraId="1561CEE0">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2.1投标人应当在招标公告规定的投标截止时间前</w:t>
      </w:r>
      <w:r>
        <w:rPr>
          <w:rFonts w:asciiTheme="minorEastAsia" w:hAnsiTheme="minorEastAsia" w:eastAsiaTheme="minorEastAsia"/>
          <w:sz w:val="24"/>
          <w:highlight w:val="none"/>
        </w:rPr>
        <w:t>，将投标文件</w:t>
      </w:r>
      <w:r>
        <w:rPr>
          <w:rFonts w:hint="eastAsia" w:asciiTheme="minorEastAsia" w:hAnsiTheme="minorEastAsia" w:eastAsiaTheme="minorEastAsia"/>
          <w:sz w:val="24"/>
          <w:highlight w:val="none"/>
          <w:lang w:eastAsia="zh-CN"/>
        </w:rPr>
        <w:t>密封递交</w:t>
      </w:r>
      <w:r>
        <w:rPr>
          <w:rFonts w:asciiTheme="minorEastAsia" w:hAnsiTheme="minorEastAsia" w:eastAsiaTheme="minorEastAsia"/>
          <w:sz w:val="24"/>
          <w:highlight w:val="none"/>
        </w:rPr>
        <w:t>。</w:t>
      </w:r>
    </w:p>
    <w:p w14:paraId="16195B8B">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2.2投标人应当在投标截止时间前完成投标文件的递交（以接收到</w:t>
      </w:r>
      <w:r>
        <w:rPr>
          <w:rFonts w:hint="eastAsia" w:asciiTheme="minorEastAsia" w:hAnsiTheme="minorEastAsia" w:eastAsiaTheme="minorEastAsia"/>
          <w:sz w:val="24"/>
          <w:highlight w:val="none"/>
          <w:lang w:eastAsia="zh-CN"/>
        </w:rPr>
        <w:t>密封投标文件</w:t>
      </w:r>
      <w:r>
        <w:rPr>
          <w:rFonts w:hint="eastAsia" w:asciiTheme="minorEastAsia" w:hAnsiTheme="minorEastAsia" w:eastAsiaTheme="minorEastAsia"/>
          <w:sz w:val="24"/>
          <w:highlight w:val="none"/>
        </w:rPr>
        <w:t>为准），并可以补充、修改或者撤回投标文件。投标截止时间前未完成投标文件</w:t>
      </w:r>
      <w:r>
        <w:rPr>
          <w:rFonts w:hint="eastAsia" w:asciiTheme="minorEastAsia" w:hAnsiTheme="minorEastAsia" w:eastAsiaTheme="minorEastAsia"/>
          <w:sz w:val="24"/>
          <w:highlight w:val="none"/>
          <w:lang w:eastAsia="zh-CN"/>
        </w:rPr>
        <w:t>递交</w:t>
      </w:r>
      <w:r>
        <w:rPr>
          <w:rFonts w:hint="eastAsia" w:asciiTheme="minorEastAsia" w:hAnsiTheme="minorEastAsia" w:eastAsiaTheme="minorEastAsia"/>
          <w:sz w:val="24"/>
          <w:highlight w:val="none"/>
        </w:rPr>
        <w:t>的，视为撤回投标文件。未按规定</w:t>
      </w:r>
      <w:r>
        <w:rPr>
          <w:rFonts w:hint="eastAsia" w:asciiTheme="minorEastAsia" w:hAnsiTheme="minorEastAsia" w:eastAsiaTheme="minorEastAsia"/>
          <w:sz w:val="24"/>
          <w:highlight w:val="none"/>
          <w:lang w:eastAsia="zh-CN"/>
        </w:rPr>
        <w:t>密封</w:t>
      </w:r>
      <w:r>
        <w:rPr>
          <w:rFonts w:hint="eastAsia" w:asciiTheme="minorEastAsia" w:hAnsiTheme="minorEastAsia" w:eastAsiaTheme="minorEastAsia"/>
          <w:sz w:val="24"/>
          <w:highlight w:val="none"/>
        </w:rPr>
        <w:t>或投标截止时间后送达的投标文件，应当拒收。</w:t>
      </w:r>
    </w:p>
    <w:p w14:paraId="5E57DFFA">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开标</w:t>
      </w:r>
    </w:p>
    <w:p w14:paraId="0CB7B98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开标时，</w:t>
      </w:r>
      <w:r>
        <w:rPr>
          <w:rFonts w:ascii="宋体" w:hAnsi="宋体" w:eastAsia="宋体" w:cs="宋体"/>
          <w:sz w:val="24"/>
          <w:szCs w:val="24"/>
          <w:highlight w:val="none"/>
        </w:rPr>
        <w:t>各投标人应在</w:t>
      </w:r>
      <w:r>
        <w:rPr>
          <w:rFonts w:ascii="宋体" w:hAnsi="宋体" w:eastAsia="宋体" w:cs="宋体"/>
          <w:sz w:val="24"/>
          <w:szCs w:val="24"/>
          <w:highlight w:val="none"/>
          <w:u w:val="single"/>
        </w:rPr>
        <w:t>投标人须知前附表</w:t>
      </w:r>
      <w:r>
        <w:rPr>
          <w:rFonts w:ascii="宋体" w:hAnsi="宋体" w:eastAsia="宋体" w:cs="宋体"/>
          <w:sz w:val="24"/>
          <w:szCs w:val="24"/>
          <w:highlight w:val="none"/>
        </w:rPr>
        <w:t>规定的</w:t>
      </w:r>
      <w:r>
        <w:rPr>
          <w:rFonts w:hint="eastAsia" w:ascii="宋体" w:hAnsi="宋体" w:eastAsia="宋体" w:cs="宋体"/>
          <w:sz w:val="24"/>
          <w:szCs w:val="24"/>
          <w:highlight w:val="none"/>
          <w:lang w:eastAsia="zh-CN"/>
        </w:rPr>
        <w:t>递交截止</w:t>
      </w:r>
      <w:r>
        <w:rPr>
          <w:rFonts w:ascii="宋体" w:hAnsi="宋体" w:eastAsia="宋体" w:cs="宋体"/>
          <w:sz w:val="24"/>
          <w:szCs w:val="24"/>
          <w:highlight w:val="none"/>
        </w:rPr>
        <w:t>时间前</w:t>
      </w:r>
      <w:r>
        <w:rPr>
          <w:rFonts w:hint="eastAsia" w:asciiTheme="minorEastAsia" w:hAnsiTheme="minorEastAsia" w:eastAsiaTheme="minorEastAsia"/>
          <w:sz w:val="24"/>
          <w:highlight w:val="none"/>
          <w:lang w:eastAsia="zh-CN"/>
        </w:rPr>
        <w:t>递交</w:t>
      </w:r>
      <w:r>
        <w:rPr>
          <w:rFonts w:hint="eastAsia" w:ascii="宋体" w:hAnsi="宋体" w:eastAsia="宋体" w:cs="宋体"/>
          <w:sz w:val="24"/>
          <w:szCs w:val="24"/>
          <w:highlight w:val="none"/>
        </w:rPr>
        <w:t>其</w:t>
      </w:r>
      <w:r>
        <w:rPr>
          <w:rFonts w:asciiTheme="minorEastAsia" w:hAnsiTheme="minorEastAsia" w:eastAsiaTheme="minorEastAsia"/>
          <w:sz w:val="24"/>
          <w:highlight w:val="none"/>
        </w:rPr>
        <w:t>投标文件。</w:t>
      </w:r>
    </w:p>
    <w:p w14:paraId="63F5ADF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开标时，采购代理机构将公布</w:t>
      </w:r>
      <w:r>
        <w:rPr>
          <w:rFonts w:hint="eastAsia" w:asciiTheme="minorEastAsia" w:hAnsiTheme="minorEastAsia" w:eastAsiaTheme="minorEastAsia"/>
          <w:sz w:val="24"/>
          <w:highlight w:val="none"/>
        </w:rPr>
        <w:t>开标结果，公布内容包括投标人名称、投标价格及招标文件规定的内容。</w:t>
      </w:r>
    </w:p>
    <w:p w14:paraId="63F9F35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13.3采购人或采购代理机构将对开标过程进行记录，由参加开标的各投标人代表和相关工作人员签字确认，并存档备查。</w:t>
      </w:r>
    </w:p>
    <w:p w14:paraId="4794E47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投标人未派代表参加开标的，视同投标人认可开标结果。</w:t>
      </w:r>
    </w:p>
    <w:p w14:paraId="1C1D59A0">
      <w:pPr>
        <w:spacing w:line="360" w:lineRule="auto"/>
        <w:ind w:firstLine="435"/>
        <w:rPr>
          <w:rFonts w:hint="eastAsia" w:asciiTheme="minorEastAsia" w:hAnsiTheme="minorEastAsia" w:eastAsiaTheme="minorEastAsia"/>
          <w:sz w:val="28"/>
          <w:highlight w:val="none"/>
        </w:rPr>
      </w:pPr>
      <w:r>
        <w:rPr>
          <w:rFonts w:hint="eastAsia" w:asciiTheme="minorEastAsia" w:hAnsiTheme="minorEastAsia" w:eastAsiaTheme="minorEastAsia"/>
          <w:sz w:val="24"/>
          <w:highlight w:val="none"/>
        </w:rPr>
        <w:t>13.4投标人代表对开标过程和开标记录有疑义，以及认为采购人、采购代理机构相关工作人员有需要回避的情形的，应当场提出询问或者回避申请。</w:t>
      </w:r>
    </w:p>
    <w:p w14:paraId="5C730826">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资格审查及组建评标委员会</w:t>
      </w:r>
    </w:p>
    <w:p w14:paraId="71C511A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14.1采购人或采购代理机构依据法律法规和招标文件中规定的内</w:t>
      </w:r>
      <w:r>
        <w:rPr>
          <w:rFonts w:asciiTheme="minorEastAsia" w:hAnsiTheme="minorEastAsia" w:eastAsiaTheme="minorEastAsia"/>
          <w:sz w:val="24"/>
          <w:highlight w:val="none"/>
        </w:rPr>
        <w:t>容</w:t>
      </w:r>
      <w:r>
        <w:rPr>
          <w:rFonts w:hint="eastAsia" w:asciiTheme="minorEastAsia" w:hAnsiTheme="minorEastAsia" w:eastAsiaTheme="minorEastAsia"/>
          <w:sz w:val="24"/>
          <w:highlight w:val="none"/>
        </w:rPr>
        <w:t>，对投标人资格进行审查，未</w:t>
      </w:r>
      <w:r>
        <w:rPr>
          <w:rFonts w:asciiTheme="minorEastAsia" w:hAnsiTheme="minorEastAsia" w:eastAsiaTheme="minorEastAsia"/>
          <w:sz w:val="24"/>
          <w:highlight w:val="none"/>
        </w:rPr>
        <w:t>通过资格审查的投标人</w:t>
      </w:r>
      <w:r>
        <w:rPr>
          <w:rFonts w:hint="eastAsia" w:asciiTheme="minorEastAsia" w:hAnsiTheme="minorEastAsia" w:eastAsiaTheme="minorEastAsia"/>
          <w:sz w:val="24"/>
          <w:highlight w:val="none"/>
        </w:rPr>
        <w:t>不</w:t>
      </w:r>
      <w:r>
        <w:rPr>
          <w:rFonts w:asciiTheme="minorEastAsia" w:hAnsiTheme="minorEastAsia" w:eastAsiaTheme="minorEastAsia"/>
          <w:sz w:val="24"/>
          <w:highlight w:val="none"/>
        </w:rPr>
        <w:t>进入评标</w:t>
      </w:r>
      <w:r>
        <w:rPr>
          <w:rFonts w:hint="eastAsia" w:asciiTheme="minorEastAsia" w:hAnsiTheme="minorEastAsia" w:eastAsiaTheme="minorEastAsia"/>
          <w:sz w:val="24"/>
          <w:highlight w:val="none"/>
        </w:rPr>
        <w:t>。</w:t>
      </w:r>
    </w:p>
    <w:p w14:paraId="630BA074">
      <w:pPr>
        <w:wordWrap w:val="0"/>
        <w:spacing w:line="360" w:lineRule="auto"/>
        <w:ind w:firstLine="437"/>
        <w:rPr>
          <w:rFonts w:hint="eastAsia" w:ascii="宋体" w:hAnsi="宋体" w:eastAsia="宋体" w:cs="宋体"/>
          <w:sz w:val="24"/>
          <w:szCs w:val="24"/>
          <w:highlight w:val="none"/>
        </w:rPr>
      </w:pPr>
      <w:bookmarkStart w:id="31" w:name="_Hlk24663244"/>
      <w:r>
        <w:rPr>
          <w:rFonts w:hint="eastAsia" w:ascii="宋体" w:hAnsi="宋体" w:eastAsia="宋体" w:cs="宋体"/>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highlight w:val="none"/>
        </w:rPr>
        <w:t>投标无效</w:t>
      </w:r>
      <w:r>
        <w:rPr>
          <w:rFonts w:hint="eastAsia" w:ascii="宋体" w:hAnsi="宋体" w:eastAsia="宋体" w:cs="宋体"/>
          <w:sz w:val="24"/>
          <w:szCs w:val="24"/>
          <w:highlight w:val="none"/>
        </w:rPr>
        <w:t>。</w:t>
      </w:r>
    </w:p>
    <w:p w14:paraId="203140C4">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以联合体形式参加投标的，联合体成员存在以上不良信用记录的，联合体投标将被认定为</w:t>
      </w:r>
      <w:r>
        <w:rPr>
          <w:rFonts w:hint="eastAsia" w:ascii="宋体" w:hAnsi="宋体" w:eastAsia="宋体" w:cs="宋体"/>
          <w:b/>
          <w:sz w:val="24"/>
          <w:szCs w:val="24"/>
          <w:highlight w:val="none"/>
        </w:rPr>
        <w:t>投标无效</w:t>
      </w:r>
      <w:r>
        <w:rPr>
          <w:rFonts w:hint="eastAsia" w:ascii="宋体" w:hAnsi="宋体" w:eastAsia="宋体" w:cs="宋体"/>
          <w:sz w:val="24"/>
          <w:szCs w:val="24"/>
          <w:highlight w:val="none"/>
        </w:rPr>
        <w:t>。</w:t>
      </w:r>
    </w:p>
    <w:p w14:paraId="72F05823">
      <w:pPr>
        <w:spacing w:line="360" w:lineRule="auto"/>
        <w:ind w:firstLine="435"/>
        <w:rPr>
          <w:rFonts w:hint="eastAsia" w:asciiTheme="minorEastAsia" w:hAnsiTheme="minorEastAsia" w:eastAsiaTheme="minorEastAsia"/>
          <w:sz w:val="24"/>
          <w:highlight w:val="none"/>
        </w:rPr>
      </w:pPr>
      <w:r>
        <w:rPr>
          <w:rFonts w:hint="eastAsia" w:ascii="宋体" w:hAnsi="宋体" w:eastAsia="宋体" w:cs="宋体"/>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1"/>
    <w:p w14:paraId="326254F3">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14.3按照</w:t>
      </w:r>
      <w:r>
        <w:rPr>
          <w:rFonts w:hint="eastAsia" w:ascii="宋体" w:hAnsi="宋体" w:eastAsia="宋体"/>
          <w:sz w:val="24"/>
          <w:highlight w:val="none"/>
        </w:rPr>
        <w:t>《</w:t>
      </w:r>
      <w:r>
        <w:rPr>
          <w:rFonts w:ascii="宋体" w:hAnsi="宋体" w:eastAsia="宋体"/>
          <w:sz w:val="24"/>
          <w:highlight w:val="none"/>
        </w:rPr>
        <w:t>中华人民共和国政府采购法》</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《中华人民共和国政府采购</w:t>
      </w:r>
      <w:r>
        <w:rPr>
          <w:rFonts w:hint="eastAsia" w:asciiTheme="minorEastAsia" w:hAnsiTheme="minorEastAsia" w:eastAsiaTheme="minorEastAsia"/>
          <w:sz w:val="24"/>
          <w:highlight w:val="none"/>
        </w:rPr>
        <w:t>法</w:t>
      </w:r>
      <w:r>
        <w:rPr>
          <w:rFonts w:asciiTheme="minorEastAsia" w:hAnsiTheme="minorEastAsia" w:eastAsiaTheme="minorEastAsia"/>
          <w:sz w:val="24"/>
          <w:highlight w:val="none"/>
        </w:rPr>
        <w:t>实施条例》</w:t>
      </w:r>
      <w:r>
        <w:rPr>
          <w:rFonts w:hint="eastAsia" w:asciiTheme="minorEastAsia" w:hAnsiTheme="minorEastAsia" w:eastAsiaTheme="minorEastAsia"/>
          <w:sz w:val="24"/>
          <w:highlight w:val="none"/>
        </w:rPr>
        <w:t>及本项目本级</w:t>
      </w:r>
      <w:r>
        <w:rPr>
          <w:rFonts w:asciiTheme="minorEastAsia" w:hAnsiTheme="minorEastAsia" w:eastAsiaTheme="minorEastAsia"/>
          <w:sz w:val="24"/>
          <w:highlight w:val="none"/>
        </w:rPr>
        <w:t>和上级财政部门</w:t>
      </w:r>
      <w:r>
        <w:rPr>
          <w:rFonts w:hint="eastAsia" w:asciiTheme="minorEastAsia" w:hAnsiTheme="minorEastAsia" w:eastAsiaTheme="minorEastAsia"/>
          <w:sz w:val="24"/>
          <w:highlight w:val="none"/>
        </w:rPr>
        <w:t>、政府采购监督管理部门的有关规定依法组建的</w:t>
      </w:r>
      <w:r>
        <w:rPr>
          <w:rFonts w:asciiTheme="minorEastAsia" w:hAnsiTheme="minorEastAsia" w:eastAsiaTheme="minorEastAsia"/>
          <w:sz w:val="24"/>
          <w:highlight w:val="none"/>
        </w:rPr>
        <w:t>评标委员会</w:t>
      </w:r>
      <w:r>
        <w:rPr>
          <w:rFonts w:hint="eastAsia" w:asciiTheme="minorEastAsia" w:hAnsiTheme="minorEastAsia" w:eastAsiaTheme="minorEastAsia"/>
          <w:sz w:val="24"/>
          <w:highlight w:val="none"/>
        </w:rPr>
        <w:t>，负责本项目评标工作。</w:t>
      </w:r>
    </w:p>
    <w:p w14:paraId="490D6B67">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投标文件符合性审查与澄清</w:t>
      </w:r>
    </w:p>
    <w:p w14:paraId="332C818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.1符合性审查是指依据招标文件的规定，从投标文件的有效性和完整性对招标文件的响应程度</w:t>
      </w:r>
      <w:r>
        <w:rPr>
          <w:rFonts w:ascii="宋体" w:hAnsi="宋体" w:eastAsia="宋体"/>
          <w:sz w:val="24"/>
          <w:highlight w:val="none"/>
        </w:rPr>
        <w:t>进行</w:t>
      </w:r>
      <w:r>
        <w:rPr>
          <w:rFonts w:asciiTheme="minorEastAsia" w:hAnsiTheme="minorEastAsia" w:eastAsiaTheme="minorEastAsia"/>
          <w:sz w:val="24"/>
          <w:highlight w:val="none"/>
        </w:rPr>
        <w:t>审查，以确定是否对招标文件的实质性要求做出响应。</w:t>
      </w:r>
    </w:p>
    <w:p w14:paraId="5318B6A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.2如一个分包内只有一种产品，不同投标人所投产品为同一品牌的，按如下方式处理：</w:t>
      </w:r>
    </w:p>
    <w:p w14:paraId="1BDD0E66">
      <w:pP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highlight w:val="none"/>
        </w:rPr>
        <w:t>方</w:t>
      </w:r>
      <w:r>
        <w:rPr>
          <w:rFonts w:ascii="宋体" w:hAnsi="宋体" w:eastAsia="宋体"/>
          <w:sz w:val="24"/>
          <w:highlight w:val="none"/>
        </w:rPr>
        <w:t>法</w:t>
      </w:r>
      <w:r>
        <w:rPr>
          <w:rFonts w:hint="eastAsia" w:ascii="宋体" w:hAnsi="宋体" w:eastAsia="宋体"/>
          <w:sz w:val="24"/>
          <w:highlight w:val="none"/>
        </w:rPr>
        <w:t>和标准</w:t>
      </w:r>
      <w:r>
        <w:rPr>
          <w:rFonts w:ascii="宋体" w:hAnsi="宋体" w:eastAsia="宋体"/>
          <w:sz w:val="24"/>
          <w:highlight w:val="none"/>
        </w:rPr>
        <w:t>规定的方式确定一个参加评标的投标人；未规定的采取随机抽取方式确定，其他投标将被认定为</w:t>
      </w:r>
      <w:r>
        <w:rPr>
          <w:rFonts w:ascii="宋体" w:hAnsi="宋体" w:eastAsia="宋体"/>
          <w:b/>
          <w:sz w:val="24"/>
          <w:highlight w:val="none"/>
        </w:rPr>
        <w:t>投标无效</w:t>
      </w:r>
      <w:r>
        <w:rPr>
          <w:rFonts w:ascii="宋体" w:hAnsi="宋体" w:eastAsia="宋体"/>
          <w:sz w:val="24"/>
          <w:highlight w:val="none"/>
        </w:rPr>
        <w:t>。</w:t>
      </w:r>
    </w:p>
    <w:p w14:paraId="11E5BAC3">
      <w:pP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highlight w:val="none"/>
        </w:rPr>
        <w:t>方</w:t>
      </w:r>
      <w:r>
        <w:rPr>
          <w:rFonts w:ascii="宋体" w:hAnsi="宋体" w:eastAsia="宋体"/>
          <w:sz w:val="24"/>
          <w:highlight w:val="none"/>
        </w:rPr>
        <w:t>法</w:t>
      </w:r>
      <w:r>
        <w:rPr>
          <w:rFonts w:hint="eastAsia" w:ascii="宋体" w:hAnsi="宋体" w:eastAsia="宋体"/>
          <w:sz w:val="24"/>
          <w:highlight w:val="none"/>
        </w:rPr>
        <w:t>和标准</w:t>
      </w:r>
      <w:r>
        <w:rPr>
          <w:rFonts w:ascii="宋体" w:hAnsi="宋体" w:eastAsia="宋体"/>
          <w:sz w:val="24"/>
          <w:highlight w:val="none"/>
        </w:rPr>
        <w:t>规定的方式确定一个投标人获得中标人推荐资格；未规定的采取随机抽取方式确定，其他同品牌投标人不作为中标候选人。</w:t>
      </w:r>
    </w:p>
    <w:p w14:paraId="2367E5F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.3如一个分包内包含多种产品的，采购人或采购代理机构将在</w:t>
      </w:r>
      <w:r>
        <w:rPr>
          <w:rFonts w:hint="eastAsia" w:asciiTheme="minorEastAsia" w:hAnsiTheme="minorEastAsia" w:eastAsiaTheme="minorEastAsia"/>
          <w:sz w:val="24"/>
          <w:highlight w:val="none"/>
        </w:rPr>
        <w:t>采购需求</w:t>
      </w:r>
      <w:r>
        <w:rPr>
          <w:rFonts w:asciiTheme="minorEastAsia" w:hAnsiTheme="minorEastAsia" w:eastAsiaTheme="minorEastAsia"/>
          <w:sz w:val="24"/>
          <w:highlight w:val="none"/>
        </w:rPr>
        <w:t>中载明核心产品，多家投标人提供的核心产品品牌相同的，按第</w:t>
      </w: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款</w:t>
      </w:r>
      <w:r>
        <w:rPr>
          <w:rFonts w:asciiTheme="minorEastAsia" w:hAnsiTheme="minorEastAsia" w:eastAsiaTheme="minorEastAsia"/>
          <w:sz w:val="24"/>
          <w:highlight w:val="none"/>
        </w:rPr>
        <w:t>规定处理。</w:t>
      </w:r>
    </w:p>
    <w:p w14:paraId="485662A3">
      <w:pP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w:t>
      </w:r>
      <w:r>
        <w:rPr>
          <w:rFonts w:hint="eastAsia" w:ascii="宋体" w:hAnsi="宋体" w:eastAsia="宋体"/>
          <w:sz w:val="24"/>
          <w:highlight w:val="none"/>
        </w:rPr>
        <w:t>投标文件的澄清</w:t>
      </w:r>
    </w:p>
    <w:p w14:paraId="5DC1C100">
      <w:pP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.4.1为有助于投标</w:t>
      </w:r>
      <w:r>
        <w:rPr>
          <w:rFonts w:hint="eastAsia" w:ascii="宋体" w:hAnsi="宋体" w:eastAsia="宋体"/>
          <w:sz w:val="24"/>
          <w:highlight w:val="none"/>
        </w:rPr>
        <w:t>文件</w:t>
      </w:r>
      <w:r>
        <w:rPr>
          <w:rFonts w:ascii="宋体" w:hAnsi="宋体" w:eastAsia="宋体"/>
          <w:sz w:val="24"/>
          <w:highlight w:val="none"/>
        </w:rPr>
        <w:t>的审查、评价和比较，在评标期间，评标委员会将以书面</w:t>
      </w:r>
      <w:r>
        <w:rPr>
          <w:rFonts w:hint="eastAsia" w:ascii="宋体" w:hAnsi="宋体" w:eastAsia="宋体"/>
          <w:sz w:val="24"/>
          <w:highlight w:val="none"/>
        </w:rPr>
        <w:t>方式（询标）</w:t>
      </w:r>
      <w:r>
        <w:rPr>
          <w:rFonts w:ascii="宋体" w:hAnsi="宋体" w:eastAsia="宋体"/>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highlight w:val="none"/>
        </w:rPr>
        <w:t>审</w:t>
      </w:r>
      <w:r>
        <w:rPr>
          <w:rFonts w:ascii="宋体" w:hAnsi="宋体" w:eastAsia="宋体"/>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sz w:val="24"/>
          <w:highlight w:val="none"/>
        </w:rPr>
        <w:t>方式</w:t>
      </w:r>
      <w:r>
        <w:rPr>
          <w:rFonts w:ascii="宋体" w:hAnsi="宋体" w:eastAsia="宋体"/>
          <w:sz w:val="24"/>
          <w:highlight w:val="none"/>
        </w:rPr>
        <w:t>进行，并不得超出投标文件范围或者改变投标文件的实质性内容。</w:t>
      </w:r>
    </w:p>
    <w:p w14:paraId="473216B9">
      <w:pPr>
        <w:spacing w:line="360" w:lineRule="auto"/>
        <w:ind w:firstLine="435"/>
        <w:rPr>
          <w:rFonts w:hint="eastAsia" w:ascii="宋体" w:hAnsi="宋体" w:eastAsia="宋体"/>
          <w:sz w:val="24"/>
          <w:highlight w:val="none"/>
        </w:rPr>
      </w:pPr>
      <w:r>
        <w:rPr>
          <w:rFonts w:hint="eastAsia" w:ascii="宋体" w:hAnsi="宋体" w:eastAsia="宋体"/>
          <w:sz w:val="24"/>
          <w:highlight w:val="none"/>
        </w:rPr>
        <w:t>如有询标，投标人授权代表（或法定代表人）可凭本人有效身份证明参加询标。因投标人授权代表联系不上等情形而无法接受评标委员会询标的，投标人自行承担相关风险。</w:t>
      </w:r>
    </w:p>
    <w:p w14:paraId="6B3F81C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4.2</w:t>
      </w:r>
      <w:r>
        <w:rPr>
          <w:rFonts w:hint="eastAsia" w:asciiTheme="minorEastAsia" w:hAnsiTheme="minorEastAsia" w:eastAsiaTheme="minorEastAsia"/>
          <w:sz w:val="24"/>
          <w:highlight w:val="none"/>
        </w:rPr>
        <w:t>投标人的澄清、说明或补正将作为投标文件的一部分。</w:t>
      </w:r>
    </w:p>
    <w:p w14:paraId="5FA088A8">
      <w:pP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4.3评标委员会对投标人提交的澄清、说明或补正有疑问的，可以要求投标人进一步澄清、说明或补正，直至满足评标委员会的要求。</w:t>
      </w:r>
    </w:p>
    <w:p w14:paraId="050417BF">
      <w:pP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5投标文件报价出现前后不一致的，按照下列规定修正：</w:t>
      </w:r>
    </w:p>
    <w:p w14:paraId="7F7D65CE">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）投标文件中开标一览表内容与投标文件中相应内容不一致的，以开标一览表为准；</w:t>
      </w:r>
    </w:p>
    <w:p w14:paraId="0C80FFA4">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）大写金额和小写金额不一致的，以大写金额为准；</w:t>
      </w:r>
    </w:p>
    <w:p w14:paraId="66F108A3">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3</w:t>
      </w:r>
      <w:r>
        <w:rPr>
          <w:rFonts w:ascii="宋体" w:hAnsi="宋体" w:eastAsia="宋体"/>
          <w:sz w:val="24"/>
          <w:highlight w:val="none"/>
        </w:rPr>
        <w:t>）单价金额小数点或者百分比有明显错位的，以开标一览表的总价为准，并修改单价；</w:t>
      </w:r>
    </w:p>
    <w:p w14:paraId="48D792FD">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4</w:t>
      </w:r>
      <w:r>
        <w:rPr>
          <w:rFonts w:ascii="宋体" w:hAnsi="宋体" w:eastAsia="宋体"/>
          <w:sz w:val="24"/>
          <w:highlight w:val="none"/>
        </w:rPr>
        <w:t>）总价金额与按单价汇总金额不一致的，以单价金额计算结果为准。</w:t>
      </w:r>
    </w:p>
    <w:p w14:paraId="61A19725">
      <w:pPr>
        <w:spacing w:line="360" w:lineRule="auto"/>
        <w:ind w:firstLine="435"/>
        <w:rPr>
          <w:rFonts w:hint="eastAsia" w:ascii="宋体" w:hAnsi="宋体" w:eastAsia="宋体"/>
          <w:sz w:val="24"/>
          <w:highlight w:val="none"/>
        </w:rPr>
      </w:pPr>
      <w:r>
        <w:rPr>
          <w:rFonts w:ascii="宋体" w:hAnsi="宋体" w:eastAsia="宋体"/>
          <w:sz w:val="24"/>
          <w:highlight w:val="none"/>
        </w:rPr>
        <w:t>同时出现两种以上不一致的，按照前款规定的顺序修正。修正后的报价按照第</w:t>
      </w:r>
      <w:r>
        <w:rPr>
          <w:rFonts w:hint="eastAsia" w:ascii="宋体" w:hAnsi="宋体" w:eastAsia="宋体"/>
          <w:sz w:val="24"/>
          <w:highlight w:val="none"/>
        </w:rPr>
        <w:t>15.</w:t>
      </w:r>
      <w:r>
        <w:rPr>
          <w:rFonts w:ascii="宋体" w:hAnsi="宋体" w:eastAsia="宋体"/>
          <w:sz w:val="24"/>
          <w:highlight w:val="none"/>
        </w:rPr>
        <w:t>4条的规定经投标人确认后产生约束力，投标人不确认的，其投标将被认定为</w:t>
      </w:r>
      <w:r>
        <w:rPr>
          <w:rFonts w:ascii="宋体" w:hAnsi="宋体" w:eastAsia="宋体"/>
          <w:b/>
          <w:sz w:val="24"/>
          <w:highlight w:val="none"/>
        </w:rPr>
        <w:t>投标无效</w:t>
      </w:r>
      <w:r>
        <w:rPr>
          <w:rFonts w:ascii="宋体" w:hAnsi="宋体" w:eastAsia="宋体"/>
          <w:sz w:val="24"/>
          <w:highlight w:val="none"/>
        </w:rPr>
        <w:t>。</w:t>
      </w:r>
    </w:p>
    <w:p w14:paraId="01A704AD">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对不同文字文本投标文件的解释发生异议的，以中文文本为准。</w:t>
      </w:r>
    </w:p>
    <w:p w14:paraId="2A1D7561">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16.投标无效</w:t>
      </w:r>
    </w:p>
    <w:p w14:paraId="126AEAC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1根据本</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的规定，评标委员会要审查每份投标文件是否实质上响应了招标文件的要求。投标人不得通过修正或撤销不符合要求的偏离，从而使其投标成为实质上响应的投标。</w:t>
      </w:r>
    </w:p>
    <w:p w14:paraId="68F57BD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评标委员会决定投标的响应性只根据招标文件要求和投标文件内容。</w:t>
      </w:r>
    </w:p>
    <w:p w14:paraId="33A6839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无论何种原因，即使投标人投标时携带了证书材料的原件，但投标文件中未提供与之内容完全一致的扫描件的，评标委员会视同其未提供。</w:t>
      </w:r>
    </w:p>
    <w:p w14:paraId="72A0A18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2如发现下列情况之一的，其投标将被认定为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078E6E2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1）投标文件未按照招标文件规定要求签署、盖章的；</w:t>
      </w:r>
    </w:p>
    <w:p w14:paraId="024E48E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2）不具备招标文件中规定的资格要求的；</w:t>
      </w:r>
    </w:p>
    <w:p w14:paraId="347DFAC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3）报价超过招标文件中规定的预算金额或者最高限价的；</w:t>
      </w:r>
    </w:p>
    <w:p w14:paraId="28AD656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4）投标文件含有采购人不能接受的附加条件的；</w:t>
      </w:r>
    </w:p>
    <w:p w14:paraId="7D644FF9">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5）法律、法规和招标文件规定的其他无效情形。</w:t>
      </w:r>
    </w:p>
    <w:p w14:paraId="222DA229">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17.比较与评价</w:t>
      </w:r>
    </w:p>
    <w:p w14:paraId="356238A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17.1经符合性审查合格的投标文件，评标委员会将根据招标文件确定的评标方法和标准，对其投标文件作进一步的比较与评价。</w:t>
      </w:r>
    </w:p>
    <w:p w14:paraId="4A6C40E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17.2评标严格按照</w:t>
      </w:r>
      <w:r>
        <w:rPr>
          <w:rFonts w:hint="eastAsia" w:ascii="宋体" w:hAnsi="宋体" w:eastAsia="宋体"/>
          <w:sz w:val="24"/>
          <w:highlight w:val="none"/>
        </w:rPr>
        <w:t>招标文件</w:t>
      </w:r>
      <w:r>
        <w:rPr>
          <w:rFonts w:hint="eastAsia" w:asciiTheme="minorEastAsia" w:hAnsiTheme="minorEastAsia" w:eastAsiaTheme="minorEastAsia"/>
          <w:sz w:val="24"/>
          <w:highlight w:val="none"/>
        </w:rPr>
        <w:t>的要求和条件进行。根据实际情况，在</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中规定采用下列一种评标方法，详细评标方法和标准见招标文件第四章：</w:t>
      </w:r>
    </w:p>
    <w:p w14:paraId="576828E7">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1）最低评标价法，是指</w:t>
      </w:r>
      <w:r>
        <w:rPr>
          <w:rFonts w:ascii="宋体" w:hAnsi="宋体" w:eastAsia="宋体"/>
          <w:sz w:val="24"/>
          <w:highlight w:val="none"/>
        </w:rPr>
        <w:t>投标文件满足招标文件全部实质性要求</w:t>
      </w:r>
      <w:r>
        <w:rPr>
          <w:rFonts w:hint="eastAsia" w:ascii="宋体" w:hAnsi="宋体" w:eastAsia="宋体"/>
          <w:sz w:val="24"/>
          <w:highlight w:val="none"/>
        </w:rPr>
        <w:t>，</w:t>
      </w:r>
      <w:r>
        <w:rPr>
          <w:rFonts w:ascii="宋体" w:hAnsi="宋体" w:eastAsia="宋体"/>
          <w:sz w:val="24"/>
          <w:highlight w:val="none"/>
        </w:rPr>
        <w:t>且投标报价最低的</w:t>
      </w:r>
      <w:r>
        <w:rPr>
          <w:rFonts w:hint="eastAsia" w:ascii="宋体" w:hAnsi="宋体" w:eastAsia="宋体"/>
          <w:sz w:val="24"/>
          <w:highlight w:val="none"/>
        </w:rPr>
        <w:t>投标人</w:t>
      </w:r>
      <w:r>
        <w:rPr>
          <w:rFonts w:ascii="宋体" w:hAnsi="宋体" w:eastAsia="宋体"/>
          <w:sz w:val="24"/>
          <w:highlight w:val="none"/>
        </w:rPr>
        <w:t>为中标</w:t>
      </w:r>
      <w:r>
        <w:rPr>
          <w:rFonts w:hint="eastAsia" w:ascii="宋体" w:hAnsi="宋体" w:eastAsia="宋体"/>
          <w:sz w:val="24"/>
          <w:highlight w:val="none"/>
        </w:rPr>
        <w:t>候选</w:t>
      </w:r>
      <w:r>
        <w:rPr>
          <w:rFonts w:ascii="宋体" w:hAnsi="宋体" w:eastAsia="宋体"/>
          <w:sz w:val="24"/>
          <w:highlight w:val="none"/>
        </w:rPr>
        <w:t>人的评标方法</w:t>
      </w:r>
      <w:r>
        <w:rPr>
          <w:rFonts w:hint="eastAsia" w:ascii="宋体" w:hAnsi="宋体" w:eastAsia="宋体"/>
          <w:sz w:val="24"/>
          <w:highlight w:val="none"/>
        </w:rPr>
        <w:t>。</w:t>
      </w:r>
    </w:p>
    <w:p w14:paraId="406B6BAD">
      <w:pPr>
        <w:spacing w:line="360" w:lineRule="auto"/>
        <w:ind w:firstLine="435"/>
        <w:rPr>
          <w:rFonts w:hint="eastAsia" w:ascii="宋体" w:hAnsi="宋体" w:eastAsia="宋体"/>
          <w:sz w:val="24"/>
          <w:highlight w:val="none"/>
        </w:rPr>
      </w:pPr>
      <w:r>
        <w:rPr>
          <w:rFonts w:hint="eastAsia" w:ascii="宋体" w:hAnsi="宋体" w:eastAsia="宋体"/>
          <w:sz w:val="24"/>
          <w:highlight w:val="none"/>
        </w:rPr>
        <w:t>（2）综合评分法，是</w:t>
      </w:r>
      <w:r>
        <w:rPr>
          <w:rFonts w:ascii="宋体" w:hAnsi="宋体" w:eastAsia="宋体"/>
          <w:sz w:val="24"/>
          <w:highlight w:val="none"/>
        </w:rPr>
        <w:t>指投标文件满足招标</w:t>
      </w:r>
      <w:r>
        <w:rPr>
          <w:rFonts w:hint="eastAsia" w:ascii="宋体" w:hAnsi="宋体" w:eastAsia="宋体"/>
          <w:sz w:val="24"/>
          <w:highlight w:val="none"/>
        </w:rPr>
        <w:t>文件</w:t>
      </w:r>
      <w:r>
        <w:rPr>
          <w:rFonts w:ascii="宋体" w:hAnsi="宋体" w:eastAsia="宋体"/>
          <w:sz w:val="24"/>
          <w:highlight w:val="none"/>
        </w:rPr>
        <w:t>全部实质性要求</w:t>
      </w:r>
      <w:r>
        <w:rPr>
          <w:rFonts w:hint="eastAsia" w:ascii="宋体" w:hAnsi="宋体" w:eastAsia="宋体"/>
          <w:sz w:val="24"/>
          <w:highlight w:val="none"/>
        </w:rPr>
        <w:t>，</w:t>
      </w:r>
      <w:r>
        <w:rPr>
          <w:rFonts w:ascii="宋体" w:hAnsi="宋体" w:eastAsia="宋体"/>
          <w:sz w:val="24"/>
          <w:highlight w:val="none"/>
        </w:rPr>
        <w:t>且按照评审因素的</w:t>
      </w:r>
      <w:r>
        <w:rPr>
          <w:rFonts w:hint="eastAsia" w:ascii="宋体" w:hAnsi="宋体" w:eastAsia="宋体"/>
          <w:sz w:val="24"/>
          <w:highlight w:val="none"/>
        </w:rPr>
        <w:t>量化</w:t>
      </w:r>
      <w:r>
        <w:rPr>
          <w:rFonts w:ascii="宋体" w:hAnsi="宋体" w:eastAsia="宋体"/>
          <w:sz w:val="24"/>
          <w:highlight w:val="none"/>
        </w:rPr>
        <w:t>指标评审得分最高的</w:t>
      </w:r>
      <w:r>
        <w:rPr>
          <w:rFonts w:hint="eastAsia" w:ascii="宋体" w:hAnsi="宋体" w:eastAsia="宋体"/>
          <w:sz w:val="24"/>
          <w:highlight w:val="none"/>
        </w:rPr>
        <w:t>投标人</w:t>
      </w:r>
      <w:r>
        <w:rPr>
          <w:rFonts w:ascii="宋体" w:hAnsi="宋体" w:eastAsia="宋体"/>
          <w:sz w:val="24"/>
          <w:highlight w:val="none"/>
        </w:rPr>
        <w:t>为中标候选人的评标方法。</w:t>
      </w:r>
    </w:p>
    <w:p w14:paraId="47A4C4ED">
      <w:pPr>
        <w:spacing w:line="360" w:lineRule="auto"/>
        <w:ind w:firstLine="435"/>
        <w:rPr>
          <w:rFonts w:hint="eastAsia" w:ascii="宋体" w:hAnsi="宋体" w:eastAsia="宋体"/>
          <w:sz w:val="24"/>
          <w:highlight w:val="none"/>
        </w:rPr>
      </w:pPr>
      <w:r>
        <w:rPr>
          <w:rFonts w:hint="eastAsia" w:ascii="宋体" w:hAnsi="宋体" w:eastAsia="宋体"/>
          <w:sz w:val="24"/>
          <w:highlight w:val="none"/>
        </w:rPr>
        <w:t>17.</w:t>
      </w:r>
      <w:r>
        <w:rPr>
          <w:rFonts w:ascii="宋体" w:hAnsi="宋体" w:eastAsia="宋体"/>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highlight w:val="none"/>
          <w:u w:val="single"/>
        </w:rPr>
        <w:t>投标人须知前附表</w:t>
      </w:r>
      <w:r>
        <w:rPr>
          <w:rFonts w:ascii="宋体" w:hAnsi="宋体" w:eastAsia="宋体"/>
          <w:sz w:val="24"/>
          <w:highlight w:val="none"/>
        </w:rPr>
        <w:t>中规定的标准扣除后的价格参与评审。对于同时属于小微企</w:t>
      </w:r>
      <w:r>
        <w:rPr>
          <w:rFonts w:hint="eastAsia" w:ascii="宋体" w:hAnsi="宋体" w:eastAsia="宋体"/>
          <w:sz w:val="24"/>
          <w:highlight w:val="none"/>
        </w:rPr>
        <w:t>业、监狱企业或残疾人福利性单位的，不重复进行投标报价扣除。</w:t>
      </w:r>
    </w:p>
    <w:p w14:paraId="51DD7704">
      <w:pPr>
        <w:spacing w:line="360" w:lineRule="auto"/>
        <w:ind w:firstLine="435"/>
        <w:rPr>
          <w:rFonts w:hint="eastAsia" w:ascii="宋体" w:hAnsi="宋体" w:eastAsia="宋体"/>
          <w:sz w:val="24"/>
          <w:highlight w:val="none"/>
        </w:rPr>
      </w:pPr>
      <w:r>
        <w:rPr>
          <w:rFonts w:hint="eastAsia" w:ascii="宋体" w:hAnsi="宋体" w:eastAsia="宋体"/>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highlight w:val="none"/>
        </w:rPr>
        <w:t>30%以上的，可给予联合体或者大中型企业的投标报价按照</w:t>
      </w:r>
      <w:r>
        <w:rPr>
          <w:rFonts w:ascii="宋体" w:hAnsi="宋体" w:eastAsia="宋体"/>
          <w:sz w:val="24"/>
          <w:highlight w:val="none"/>
          <w:u w:val="single"/>
        </w:rPr>
        <w:t>投标人须知前附表</w:t>
      </w:r>
      <w:r>
        <w:rPr>
          <w:rFonts w:ascii="宋体" w:hAnsi="宋体" w:eastAsia="宋体"/>
          <w:sz w:val="24"/>
          <w:highlight w:val="none"/>
        </w:rPr>
        <w:t>中规定的标准扣除后的价格参与评审。组成联合体或者接受分包的小微企业与联合体内其他企业、分包企业之间存在直接控股、管理关系的，不享受价格扣除优惠政策。</w:t>
      </w:r>
    </w:p>
    <w:p w14:paraId="2F726767">
      <w:pPr>
        <w:spacing w:line="360" w:lineRule="auto"/>
        <w:ind w:firstLine="435"/>
        <w:rPr>
          <w:rFonts w:hint="eastAsia" w:ascii="宋体" w:hAnsi="宋体" w:eastAsia="宋体"/>
          <w:sz w:val="24"/>
          <w:highlight w:val="none"/>
        </w:rPr>
      </w:pPr>
      <w:r>
        <w:rPr>
          <w:rFonts w:hint="eastAsia" w:ascii="宋体" w:hAnsi="宋体" w:eastAsia="宋体"/>
          <w:sz w:val="24"/>
          <w:highlight w:val="none"/>
        </w:rPr>
        <w:t>以联合体形式参加政府采购活动，联合体各方均为中小企业的，联合体视同中小企业。其中，联合体各方均为小微企业的，联合体视同小微企业。</w:t>
      </w:r>
    </w:p>
    <w:p w14:paraId="68EF4E49">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废标、重新招标与变更采购方式</w:t>
      </w:r>
    </w:p>
    <w:p w14:paraId="4077CD0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18.1出现下列情形之一，将导致项目废标：</w:t>
      </w:r>
    </w:p>
    <w:p w14:paraId="4E793418">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1）符合专业条件的供应商或者对招标文件做实质性响应的供应商不足规定数量的；</w:t>
      </w:r>
    </w:p>
    <w:p w14:paraId="503F0E1F">
      <w:pPr>
        <w:spacing w:line="360" w:lineRule="auto"/>
        <w:ind w:firstLine="435"/>
        <w:rPr>
          <w:rFonts w:hint="eastAsia" w:ascii="宋体" w:hAnsi="宋体" w:eastAsia="宋体"/>
          <w:sz w:val="24"/>
          <w:highlight w:val="none"/>
        </w:rPr>
      </w:pPr>
      <w:r>
        <w:rPr>
          <w:rFonts w:hint="eastAsia" w:ascii="宋体" w:hAnsi="宋体" w:eastAsia="宋体"/>
          <w:sz w:val="24"/>
          <w:highlight w:val="none"/>
        </w:rPr>
        <w:t>（2）出现影响采购公正的违法、违规行为的；</w:t>
      </w:r>
    </w:p>
    <w:p w14:paraId="383EBC10">
      <w:pPr>
        <w:spacing w:line="360" w:lineRule="auto"/>
        <w:ind w:firstLine="435"/>
        <w:rPr>
          <w:rFonts w:hint="eastAsia" w:ascii="宋体" w:hAnsi="宋体" w:eastAsia="宋体"/>
          <w:sz w:val="24"/>
          <w:highlight w:val="none"/>
        </w:rPr>
      </w:pPr>
      <w:r>
        <w:rPr>
          <w:rFonts w:hint="eastAsia" w:ascii="宋体" w:hAnsi="宋体" w:eastAsia="宋体"/>
          <w:sz w:val="24"/>
          <w:highlight w:val="none"/>
        </w:rPr>
        <w:t>（3）投标人的报价均超过了采购预算，采购人不能支付的；</w:t>
      </w:r>
    </w:p>
    <w:p w14:paraId="722966C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（4）因重大变故，采购任务取消的。</w:t>
      </w:r>
    </w:p>
    <w:p w14:paraId="25B8E99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18.2公开招标数额标准以上的采购项目，投标截止后投标人不足</w:t>
      </w:r>
      <w:r>
        <w:rPr>
          <w:rFonts w:asciiTheme="minorEastAsia" w:hAnsiTheme="minorEastAsia" w:eastAsiaTheme="minorEastAsia"/>
          <w:sz w:val="24"/>
          <w:highlight w:val="none"/>
        </w:rPr>
        <w:t>3家或者通过</w:t>
      </w:r>
      <w:r>
        <w:rPr>
          <w:rFonts w:hint="eastAsia" w:asciiTheme="minorEastAsia" w:hAnsiTheme="minorEastAsia" w:eastAsiaTheme="minorEastAsia"/>
          <w:sz w:val="24"/>
          <w:highlight w:val="none"/>
        </w:rPr>
        <w:t>资格审查或符合性审查的投标人不足</w:t>
      </w:r>
      <w:r>
        <w:rPr>
          <w:rFonts w:asciiTheme="minorEastAsia" w:hAnsiTheme="minorEastAsia" w:eastAsiaTheme="minorEastAsia"/>
          <w:sz w:val="24"/>
          <w:highlight w:val="none"/>
        </w:rPr>
        <w:t>3家的，除采购任务取消情形外，按照以下方式处理：</w:t>
      </w:r>
    </w:p>
    <w:p w14:paraId="7AC5ABA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（1）招标文件存在不合理条款或者招标程序不符合规定的，采购人、采购代理机构改正后依法重新招标；</w:t>
      </w:r>
    </w:p>
    <w:p w14:paraId="649C25E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（2）招标文件没有不合理条款、招标程序符合规定，需要采用其他采购方式采购的，采购人应当依法报</w:t>
      </w:r>
      <w:r>
        <w:rPr>
          <w:rFonts w:hint="eastAsia" w:ascii="宋体" w:hAnsi="宋体" w:eastAsia="宋体" w:cs="宋体"/>
          <w:color w:val="000000"/>
          <w:sz w:val="24"/>
          <w:szCs w:val="24"/>
          <w:highlight w:val="none"/>
        </w:rPr>
        <w:t>政府采购监督管理部门</w:t>
      </w:r>
      <w:r>
        <w:rPr>
          <w:rFonts w:hint="eastAsia" w:asciiTheme="minorEastAsia" w:hAnsiTheme="minorEastAsia" w:eastAsiaTheme="minorEastAsia"/>
          <w:sz w:val="24"/>
          <w:highlight w:val="none"/>
        </w:rPr>
        <w:t>批准。</w:t>
      </w:r>
    </w:p>
    <w:p w14:paraId="143D5C6A">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保密要求</w:t>
      </w:r>
    </w:p>
    <w:p w14:paraId="4404A542">
      <w:pPr>
        <w:spacing w:line="360" w:lineRule="auto"/>
        <w:ind w:firstLine="435"/>
        <w:rPr>
          <w:rFonts w:hint="eastAsia" w:ascii="宋体" w:hAnsi="宋体" w:eastAsia="宋体"/>
          <w:sz w:val="24"/>
          <w:highlight w:val="none"/>
        </w:rPr>
      </w:pPr>
      <w:r>
        <w:rPr>
          <w:rFonts w:hint="eastAsia" w:ascii="宋体" w:hAnsi="宋体" w:eastAsia="宋体"/>
          <w:sz w:val="24"/>
          <w:highlight w:val="none"/>
        </w:rPr>
        <w:t>19.1评标将在严格保密的情况下进行。</w:t>
      </w:r>
    </w:p>
    <w:p w14:paraId="534A79A7">
      <w:pPr>
        <w:spacing w:line="360" w:lineRule="auto"/>
        <w:ind w:firstLine="435"/>
        <w:rPr>
          <w:rFonts w:hint="eastAsia" w:ascii="宋体" w:hAnsi="宋体" w:eastAsia="宋体"/>
          <w:sz w:val="24"/>
          <w:highlight w:val="none"/>
        </w:rPr>
      </w:pPr>
      <w:r>
        <w:rPr>
          <w:rFonts w:hint="eastAsia" w:ascii="宋体" w:hAnsi="宋体" w:eastAsia="宋体"/>
          <w:sz w:val="24"/>
          <w:highlight w:val="none"/>
        </w:rPr>
        <w:t>19.2有关人员</w:t>
      </w:r>
      <w:r>
        <w:rPr>
          <w:rFonts w:ascii="宋体" w:hAnsi="宋体" w:eastAsia="宋体"/>
          <w:sz w:val="24"/>
          <w:highlight w:val="none"/>
        </w:rPr>
        <w:t>应当</w:t>
      </w:r>
      <w:r>
        <w:rPr>
          <w:rFonts w:hint="eastAsia" w:ascii="宋体" w:hAnsi="宋体" w:eastAsia="宋体"/>
          <w:sz w:val="24"/>
          <w:highlight w:val="none"/>
        </w:rPr>
        <w:t>遵</w:t>
      </w:r>
      <w:r>
        <w:rPr>
          <w:rFonts w:ascii="宋体" w:hAnsi="宋体" w:eastAsia="宋体"/>
          <w:sz w:val="24"/>
          <w:highlight w:val="none"/>
        </w:rPr>
        <w:t>守评</w:t>
      </w:r>
      <w:r>
        <w:rPr>
          <w:rFonts w:hint="eastAsia" w:ascii="宋体" w:hAnsi="宋体" w:eastAsia="宋体"/>
          <w:sz w:val="24"/>
          <w:highlight w:val="none"/>
        </w:rPr>
        <w:t>标</w:t>
      </w:r>
      <w:r>
        <w:rPr>
          <w:rFonts w:ascii="宋体" w:hAnsi="宋体" w:eastAsia="宋体"/>
          <w:sz w:val="24"/>
          <w:highlight w:val="none"/>
        </w:rPr>
        <w:t>工作纪律，不得</w:t>
      </w:r>
      <w:r>
        <w:rPr>
          <w:rFonts w:hint="eastAsia" w:ascii="宋体" w:hAnsi="宋体" w:eastAsia="宋体"/>
          <w:sz w:val="24"/>
          <w:highlight w:val="none"/>
        </w:rPr>
        <w:t>泄露</w:t>
      </w:r>
      <w:r>
        <w:rPr>
          <w:rFonts w:ascii="宋体" w:hAnsi="宋体" w:eastAsia="宋体"/>
          <w:sz w:val="24"/>
          <w:highlight w:val="none"/>
        </w:rPr>
        <w:t>评</w:t>
      </w:r>
      <w:r>
        <w:rPr>
          <w:rFonts w:hint="eastAsia" w:ascii="宋体" w:hAnsi="宋体" w:eastAsia="宋体"/>
          <w:sz w:val="24"/>
          <w:highlight w:val="none"/>
        </w:rPr>
        <w:t>标文件</w:t>
      </w:r>
      <w:r>
        <w:rPr>
          <w:rFonts w:ascii="宋体" w:hAnsi="宋体" w:eastAsia="宋体"/>
          <w:sz w:val="24"/>
          <w:highlight w:val="none"/>
        </w:rPr>
        <w:t>、评</w:t>
      </w:r>
      <w:r>
        <w:rPr>
          <w:rFonts w:hint="eastAsia" w:ascii="宋体" w:hAnsi="宋体" w:eastAsia="宋体"/>
          <w:sz w:val="24"/>
          <w:highlight w:val="none"/>
        </w:rPr>
        <w:t>标</w:t>
      </w:r>
      <w:r>
        <w:rPr>
          <w:rFonts w:ascii="宋体" w:hAnsi="宋体" w:eastAsia="宋体"/>
          <w:sz w:val="24"/>
          <w:highlight w:val="none"/>
        </w:rPr>
        <w:t>情况和评</w:t>
      </w:r>
      <w:r>
        <w:rPr>
          <w:rFonts w:hint="eastAsia" w:ascii="宋体" w:hAnsi="宋体" w:eastAsia="宋体"/>
          <w:sz w:val="24"/>
          <w:highlight w:val="none"/>
        </w:rPr>
        <w:t>标</w:t>
      </w:r>
      <w:r>
        <w:rPr>
          <w:rFonts w:ascii="宋体" w:hAnsi="宋体" w:eastAsia="宋体"/>
          <w:sz w:val="24"/>
          <w:highlight w:val="none"/>
        </w:rPr>
        <w:t>中获悉的</w:t>
      </w:r>
      <w:r>
        <w:rPr>
          <w:rFonts w:hint="eastAsia" w:ascii="宋体" w:hAnsi="宋体" w:eastAsia="宋体"/>
          <w:sz w:val="24"/>
          <w:highlight w:val="none"/>
        </w:rPr>
        <w:t>国家秘密、</w:t>
      </w:r>
      <w:r>
        <w:rPr>
          <w:rFonts w:ascii="宋体" w:hAnsi="宋体" w:eastAsia="宋体"/>
          <w:sz w:val="24"/>
          <w:highlight w:val="none"/>
        </w:rPr>
        <w:t>商业秘密。</w:t>
      </w:r>
    </w:p>
    <w:p w14:paraId="589E4B88">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中标候选人的确定原则及标准</w:t>
      </w:r>
    </w:p>
    <w:p w14:paraId="5CC833B1">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0</w:t>
      </w:r>
      <w:r>
        <w:rPr>
          <w:rFonts w:asciiTheme="minorEastAsia" w:hAnsiTheme="minorEastAsia" w:eastAsiaTheme="minorEastAsia"/>
          <w:sz w:val="24"/>
          <w:highlight w:val="none"/>
        </w:rPr>
        <w:t>.1评</w:t>
      </w:r>
      <w:r>
        <w:rPr>
          <w:rFonts w:hint="eastAsia" w:asciiTheme="minorEastAsia" w:hAnsiTheme="minorEastAsia" w:eastAsiaTheme="minorEastAsia"/>
          <w:sz w:val="24"/>
          <w:highlight w:val="none"/>
        </w:rPr>
        <w:t>标</w:t>
      </w:r>
      <w:r>
        <w:rPr>
          <w:rFonts w:asciiTheme="minorEastAsia" w:hAnsiTheme="minorEastAsia" w:eastAsiaTheme="minorEastAsia"/>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sz w:val="24"/>
          <w:highlight w:val="none"/>
        </w:rPr>
        <w:t>，确定中标候选人</w:t>
      </w:r>
      <w:r>
        <w:rPr>
          <w:rFonts w:asciiTheme="minorEastAsia" w:hAnsiTheme="minorEastAsia" w:eastAsiaTheme="minorEastAsia"/>
          <w:sz w:val="24"/>
          <w:highlight w:val="none"/>
        </w:rPr>
        <w:t>：</w:t>
      </w:r>
    </w:p>
    <w:p w14:paraId="0E98ACD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5F4248E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sz w:val="24"/>
          <w:highlight w:val="none"/>
        </w:rPr>
        <w:t>，则所投产品为节能产品、环境标志产品、不发达地区或少数民族地区产品者优先；若</w:t>
      </w:r>
      <w:r>
        <w:rPr>
          <w:rFonts w:asciiTheme="minorEastAsia" w:hAnsiTheme="minorEastAsia" w:eastAsiaTheme="minorEastAsia"/>
          <w:sz w:val="24"/>
          <w:highlight w:val="none"/>
        </w:rPr>
        <w:t>得分与投标报价均相同</w:t>
      </w:r>
      <w:r>
        <w:rPr>
          <w:rFonts w:hint="eastAsia" w:asciiTheme="minorEastAsia" w:hAnsiTheme="minorEastAsia" w:eastAsiaTheme="minorEastAsia"/>
          <w:sz w:val="24"/>
          <w:highlight w:val="none"/>
        </w:rPr>
        <w:t>且所投产品同为节能产品、环境标志产品、不发达地区或少数民族地区产品的，则采取评标委员会随机抽取的方式确定中标候选顺序。</w:t>
      </w:r>
    </w:p>
    <w:p w14:paraId="13568B5D">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确定中标候选人和中标人</w:t>
      </w:r>
    </w:p>
    <w:p w14:paraId="4D0B0EAF">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.1评标委员会将根据评标标准，按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中规定数量推荐中标候选人。</w:t>
      </w:r>
    </w:p>
    <w:p w14:paraId="399A338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21.2按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中规定，</w:t>
      </w:r>
      <w:r>
        <w:rPr>
          <w:rFonts w:asciiTheme="minorEastAsia" w:hAnsiTheme="minorEastAsia" w:eastAsiaTheme="minorEastAsia"/>
          <w:sz w:val="24"/>
          <w:highlight w:val="none"/>
        </w:rPr>
        <w:t>由评标委员会或采购人确定中标人。</w:t>
      </w:r>
    </w:p>
    <w:p w14:paraId="2A65F19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因重大变故采购任务取消时，采购人有权拒绝任何投标人中标，且对受影响的投标人不承担任何责任。</w:t>
      </w:r>
    </w:p>
    <w:p w14:paraId="38A72654">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编写评标报告</w:t>
      </w:r>
    </w:p>
    <w:p w14:paraId="7DC460E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FAA0894">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中标结果公告</w:t>
      </w:r>
    </w:p>
    <w:p w14:paraId="7076968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除</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规定由评标委员会直接确定中标</w:t>
      </w:r>
      <w:r>
        <w:rPr>
          <w:rFonts w:hint="eastAsia" w:asciiTheme="minorEastAsia" w:hAnsiTheme="minorEastAsia" w:eastAsiaTheme="minorEastAsia"/>
          <w:sz w:val="24"/>
          <w:highlight w:val="none"/>
        </w:rPr>
        <w:t>人外，</w:t>
      </w:r>
      <w:r>
        <w:rPr>
          <w:rFonts w:asciiTheme="minorEastAsia" w:hAnsiTheme="minorEastAsia" w:eastAsiaTheme="minorEastAsia"/>
          <w:sz w:val="24"/>
          <w:highlight w:val="none"/>
        </w:rPr>
        <w:t>在评标结束后2个工作日内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采购代理机构将评标报告送采购人。采购人应当自收到评标报告之日起</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EFC7A06">
      <w:pPr>
        <w:wordWrap w:val="0"/>
        <w:spacing w:line="360" w:lineRule="auto"/>
        <w:ind w:firstLine="437"/>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自中标人确定之日起2个工作日内,采购代理机构将在</w:t>
      </w:r>
      <w:r>
        <w:rPr>
          <w:rFonts w:hint="eastAsia" w:asciiTheme="minorEastAsia" w:hAnsiTheme="minorEastAsia" w:eastAsiaTheme="minorEastAsia"/>
          <w:sz w:val="24"/>
          <w:highlight w:val="none"/>
          <w:lang w:eastAsia="zh-CN"/>
        </w:rPr>
        <w:t>滁州市妇幼保健计划生育服务中心网站</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http://www.czsfjzx.com/</w:t>
      </w:r>
      <w:r>
        <w:rPr>
          <w:rFonts w:hint="eastAsia" w:asciiTheme="minorEastAsia" w:hAnsiTheme="minorEastAsia" w:eastAsiaTheme="minorEastAsia"/>
          <w:sz w:val="24"/>
          <w:highlight w:val="none"/>
        </w:rPr>
        <w:t>)上发布中标结果公告。</w:t>
      </w:r>
    </w:p>
    <w:p w14:paraId="7DED7CD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23.3</w:t>
      </w:r>
      <w:r>
        <w:rPr>
          <w:rFonts w:asciiTheme="minorEastAsia" w:hAnsiTheme="minorEastAsia" w:eastAsiaTheme="minorEastAsia"/>
          <w:sz w:val="24"/>
          <w:highlight w:val="none"/>
        </w:rPr>
        <w:t>中标公告期限为1个工作日。</w:t>
      </w:r>
    </w:p>
    <w:p w14:paraId="40FC8EA0">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中标通知书</w:t>
      </w:r>
    </w:p>
    <w:p w14:paraId="589E0833">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.1采购代理机构</w:t>
      </w:r>
      <w:r>
        <w:rPr>
          <w:rFonts w:ascii="宋体" w:hAnsi="宋体" w:eastAsia="宋体"/>
          <w:sz w:val="24"/>
          <w:highlight w:val="none"/>
        </w:rPr>
        <w:t>发布</w:t>
      </w:r>
      <w:r>
        <w:rPr>
          <w:rFonts w:asciiTheme="minorEastAsia" w:hAnsiTheme="minorEastAsia" w:eastAsiaTheme="minorEastAsia"/>
          <w:sz w:val="24"/>
          <w:highlight w:val="none"/>
        </w:rPr>
        <w:t>中标结果公告</w:t>
      </w:r>
      <w:r>
        <w:rPr>
          <w:rFonts w:hint="eastAsia" w:asciiTheme="minorEastAsia" w:hAnsiTheme="minorEastAsia" w:eastAsiaTheme="minorEastAsia"/>
          <w:iCs/>
          <w:sz w:val="24"/>
          <w:highlight w:val="none"/>
        </w:rPr>
        <w:t>的</w:t>
      </w:r>
      <w:r>
        <w:rPr>
          <w:rFonts w:asciiTheme="minorEastAsia" w:hAnsiTheme="minorEastAsia" w:eastAsiaTheme="minorEastAsia"/>
          <w:sz w:val="24"/>
          <w:highlight w:val="none"/>
        </w:rPr>
        <w:t>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形式向中标人发出中标通知书。</w:t>
      </w:r>
    </w:p>
    <w:p w14:paraId="3B7DFC5A">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.2中标通知书对采购人和中标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具有同等法律效力。中标通知书发出以后，采购人改变中标结果或者中标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放弃中标，应当承担相应的法律责任。</w:t>
      </w:r>
    </w:p>
    <w:p w14:paraId="07C8C4C8">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.3中标通知书是</w:t>
      </w:r>
      <w:r>
        <w:rPr>
          <w:rFonts w:ascii="宋体" w:hAnsi="宋体" w:eastAsia="宋体"/>
          <w:sz w:val="24"/>
          <w:highlight w:val="none"/>
        </w:rPr>
        <w:t>合同</w:t>
      </w:r>
      <w:r>
        <w:rPr>
          <w:rFonts w:asciiTheme="minorEastAsia" w:hAnsiTheme="minorEastAsia" w:eastAsiaTheme="minorEastAsia"/>
          <w:sz w:val="24"/>
          <w:highlight w:val="none"/>
        </w:rPr>
        <w:t>的组成部分。</w:t>
      </w:r>
    </w:p>
    <w:p w14:paraId="4051CD93">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告知招标结果</w:t>
      </w:r>
    </w:p>
    <w:p w14:paraId="2D57583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25</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在公告</w:t>
      </w:r>
      <w:r>
        <w:rPr>
          <w:rFonts w:asciiTheme="minorEastAsia" w:hAnsiTheme="minorEastAsia" w:eastAsiaTheme="minorEastAsia"/>
          <w:sz w:val="24"/>
          <w:highlight w:val="none"/>
        </w:rPr>
        <w:t>中标结果的同时，采购代理机构同时以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w:t>
      </w:r>
      <w:r>
        <w:rPr>
          <w:rFonts w:hint="eastAsia" w:asciiTheme="minorEastAsia" w:hAnsiTheme="minorEastAsia" w:eastAsiaTheme="minorEastAsia"/>
          <w:sz w:val="24"/>
          <w:highlight w:val="none"/>
        </w:rPr>
        <w:t>告知未通过资格审查的投标人未通过的原因；采用综合评分法评审的，还将告知未中标人本人的评审得分和排序。</w:t>
      </w:r>
    </w:p>
    <w:p w14:paraId="07054926">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履约保证金</w:t>
      </w:r>
    </w:p>
    <w:p w14:paraId="562B500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26.1中标人应按照</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规定缴纳履约保证金。</w:t>
      </w:r>
    </w:p>
    <w:p w14:paraId="002A6C38">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26.</w:t>
      </w:r>
      <w:r>
        <w:rPr>
          <w:rFonts w:asciiTheme="minorEastAsia" w:hAnsiTheme="minorEastAsia" w:eastAsiaTheme="minorEastAsia"/>
          <w:sz w:val="24"/>
          <w:highlight w:val="none"/>
        </w:rPr>
        <w:t>2</w:t>
      </w:r>
      <w:r>
        <w:rPr>
          <w:rFonts w:hint="eastAsia" w:ascii="宋体" w:hAnsi="宋体" w:eastAsia="宋体"/>
          <w:sz w:val="24"/>
          <w:highlight w:val="none"/>
        </w:rPr>
        <w:t>如果</w:t>
      </w:r>
      <w:r>
        <w:rPr>
          <w:rFonts w:hint="eastAsia" w:asciiTheme="minorEastAsia" w:hAnsiTheme="minorEastAsia" w:eastAsiaTheme="minorEastAsia"/>
          <w:sz w:val="24"/>
          <w:highlight w:val="none"/>
        </w:rPr>
        <w:t>中标人没有按照上述履约保证金的规定执行，将视为放弃中标资格。在此情况下，采购人可</w:t>
      </w:r>
      <w:r>
        <w:rPr>
          <w:rFonts w:asciiTheme="minorEastAsia" w:hAnsiTheme="minorEastAsia" w:eastAsiaTheme="minorEastAsia"/>
          <w:sz w:val="24"/>
          <w:highlight w:val="none"/>
        </w:rPr>
        <w:t>确定下一</w:t>
      </w:r>
      <w:r>
        <w:rPr>
          <w:rFonts w:hint="eastAsia" w:ascii="宋体" w:hAnsi="宋体" w:eastAsia="宋体"/>
          <w:sz w:val="24"/>
          <w:highlight w:val="none"/>
        </w:rPr>
        <w:t>中标</w:t>
      </w:r>
      <w:r>
        <w:rPr>
          <w:rFonts w:hint="eastAsia" w:asciiTheme="minorEastAsia" w:hAnsiTheme="minorEastAsia" w:eastAsiaTheme="minorEastAsia"/>
          <w:sz w:val="24"/>
          <w:highlight w:val="none"/>
        </w:rPr>
        <w:t>候选</w:t>
      </w:r>
      <w:r>
        <w:rPr>
          <w:rFonts w:asciiTheme="minorEastAsia" w:hAnsiTheme="minorEastAsia" w:eastAsiaTheme="minorEastAsia"/>
          <w:sz w:val="24"/>
          <w:highlight w:val="none"/>
        </w:rPr>
        <w:t>人为中标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，也可以重新开展采购活动。</w:t>
      </w:r>
    </w:p>
    <w:p w14:paraId="6CAB4E97">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签订合同</w:t>
      </w:r>
    </w:p>
    <w:p w14:paraId="2D2A3B9C">
      <w:pPr>
        <w:spacing w:line="360" w:lineRule="auto"/>
        <w:ind w:firstLine="435"/>
        <w:rPr>
          <w:rFonts w:hint="eastAsia" w:ascii="宋体" w:hAnsi="宋体" w:eastAsia="宋体"/>
          <w:sz w:val="24"/>
          <w:highlight w:val="none"/>
        </w:rPr>
      </w:pPr>
      <w:r>
        <w:rPr>
          <w:rFonts w:hint="eastAsia" w:ascii="宋体" w:hAnsi="宋体" w:eastAsia="宋体"/>
          <w:sz w:val="24"/>
          <w:highlight w:val="none"/>
        </w:rPr>
        <w:t>27.1</w:t>
      </w:r>
      <w:r>
        <w:rPr>
          <w:rFonts w:hint="eastAsia" w:ascii="宋体" w:hAnsi="宋体" w:eastAsia="宋体" w:cs="宋体"/>
          <w:sz w:val="24"/>
          <w:szCs w:val="24"/>
          <w:highlight w:val="none"/>
        </w:rPr>
        <w:t>采购人与中标人应当按照</w:t>
      </w:r>
      <w:r>
        <w:rPr>
          <w:rFonts w:hint="eastAsia" w:ascii="宋体" w:hAnsi="宋体" w:eastAsia="宋体" w:cs="宋体"/>
          <w:sz w:val="24"/>
          <w:szCs w:val="24"/>
          <w:highlight w:val="none"/>
          <w:u w:val="single"/>
        </w:rPr>
        <w:t>投标人须知前附表</w:t>
      </w:r>
      <w:r>
        <w:rPr>
          <w:rFonts w:hint="eastAsia" w:ascii="宋体" w:hAnsi="宋体" w:eastAsia="宋体" w:cs="宋体"/>
          <w:sz w:val="24"/>
          <w:szCs w:val="24"/>
          <w:highlight w:val="none"/>
        </w:rPr>
        <w:t>规定的时间内完成政府采购合同签订及合同公告。</w:t>
      </w:r>
    </w:p>
    <w:p w14:paraId="52A7719B">
      <w:pPr>
        <w:spacing w:line="360" w:lineRule="auto"/>
        <w:ind w:firstLine="435"/>
        <w:rPr>
          <w:rFonts w:hint="eastAsia" w:ascii="宋体" w:hAnsi="宋体" w:eastAsia="宋体"/>
          <w:sz w:val="24"/>
          <w:highlight w:val="none"/>
        </w:rPr>
      </w:pPr>
      <w:r>
        <w:rPr>
          <w:rFonts w:hint="eastAsia" w:ascii="宋体" w:hAnsi="宋体" w:eastAsia="宋体"/>
          <w:sz w:val="24"/>
          <w:highlight w:val="none"/>
        </w:rPr>
        <w:t>27.2招标文件、中标人的投标文件及其澄清文件等，均为签订合同的依据。</w:t>
      </w:r>
    </w:p>
    <w:p w14:paraId="09E412AD">
      <w:pPr>
        <w:spacing w:line="360" w:lineRule="auto"/>
        <w:ind w:firstLine="435"/>
        <w:rPr>
          <w:rFonts w:hint="eastAsia" w:ascii="宋体" w:hAnsi="宋体" w:eastAsia="宋体"/>
          <w:sz w:val="24"/>
          <w:highlight w:val="none"/>
        </w:rPr>
      </w:pPr>
      <w:r>
        <w:rPr>
          <w:rFonts w:hint="eastAsia" w:ascii="宋体" w:hAnsi="宋体" w:eastAsia="宋体"/>
          <w:sz w:val="24"/>
          <w:highlight w:val="none"/>
        </w:rPr>
        <w:t>27.3中</w:t>
      </w:r>
      <w:r>
        <w:rPr>
          <w:rFonts w:ascii="宋体" w:hAnsi="宋体" w:eastAsia="宋体"/>
          <w:sz w:val="24"/>
          <w:highlight w:val="none"/>
        </w:rPr>
        <w:t>标</w:t>
      </w:r>
      <w:r>
        <w:rPr>
          <w:rFonts w:hint="eastAsia" w:ascii="宋体" w:hAnsi="宋体" w:eastAsia="宋体"/>
          <w:sz w:val="24"/>
          <w:highlight w:val="none"/>
        </w:rPr>
        <w:t>人</w:t>
      </w:r>
      <w:r>
        <w:rPr>
          <w:rFonts w:ascii="宋体" w:hAnsi="宋体" w:eastAsia="宋体"/>
          <w:sz w:val="24"/>
          <w:highlight w:val="none"/>
        </w:rPr>
        <w:t>拒绝与采购人签订合同的，采购人可以按照评审报告推荐的中标候选人</w:t>
      </w:r>
      <w:r>
        <w:rPr>
          <w:rFonts w:hint="eastAsia" w:ascii="宋体" w:hAnsi="宋体" w:eastAsia="宋体"/>
          <w:sz w:val="24"/>
          <w:highlight w:val="none"/>
        </w:rPr>
        <w:t>名单</w:t>
      </w:r>
      <w:r>
        <w:rPr>
          <w:rFonts w:ascii="宋体" w:hAnsi="宋体" w:eastAsia="宋体"/>
          <w:sz w:val="24"/>
          <w:highlight w:val="none"/>
        </w:rPr>
        <w:t>排序</w:t>
      </w:r>
      <w:r>
        <w:rPr>
          <w:rFonts w:hint="eastAsia" w:ascii="宋体" w:hAnsi="宋体" w:eastAsia="宋体"/>
          <w:sz w:val="24"/>
          <w:highlight w:val="none"/>
        </w:rPr>
        <w:t>，</w:t>
      </w:r>
      <w:r>
        <w:rPr>
          <w:rFonts w:ascii="宋体" w:hAnsi="宋体" w:eastAsia="宋体"/>
          <w:sz w:val="24"/>
          <w:highlight w:val="none"/>
        </w:rPr>
        <w:t>确定下一</w:t>
      </w:r>
      <w:r>
        <w:rPr>
          <w:rFonts w:hint="eastAsia" w:ascii="宋体" w:hAnsi="宋体" w:eastAsia="宋体"/>
          <w:sz w:val="24"/>
          <w:highlight w:val="none"/>
        </w:rPr>
        <w:t>中标候选</w:t>
      </w:r>
      <w:r>
        <w:rPr>
          <w:rFonts w:ascii="宋体" w:hAnsi="宋体" w:eastAsia="宋体"/>
          <w:sz w:val="24"/>
          <w:highlight w:val="none"/>
        </w:rPr>
        <w:t>人为中标</w:t>
      </w:r>
      <w:r>
        <w:rPr>
          <w:rFonts w:hint="eastAsia" w:ascii="宋体" w:hAnsi="宋体" w:eastAsia="宋体"/>
          <w:sz w:val="24"/>
          <w:highlight w:val="none"/>
        </w:rPr>
        <w:t>人</w:t>
      </w:r>
      <w:r>
        <w:rPr>
          <w:rFonts w:ascii="宋体" w:hAnsi="宋体" w:eastAsia="宋体"/>
          <w:sz w:val="24"/>
          <w:highlight w:val="none"/>
        </w:rPr>
        <w:t>，也可以重新开展政府采购活动。</w:t>
      </w:r>
    </w:p>
    <w:p w14:paraId="6499776E">
      <w:pPr>
        <w:spacing w:line="360" w:lineRule="auto"/>
        <w:ind w:firstLine="435"/>
        <w:rPr>
          <w:rFonts w:hint="eastAsia" w:ascii="宋体" w:hAnsi="宋体" w:eastAsia="宋体"/>
          <w:sz w:val="24"/>
          <w:highlight w:val="none"/>
        </w:rPr>
      </w:pPr>
      <w:r>
        <w:rPr>
          <w:rFonts w:hint="eastAsia" w:ascii="宋体" w:hAnsi="宋体" w:eastAsia="宋体"/>
          <w:sz w:val="24"/>
          <w:highlight w:val="none"/>
        </w:rPr>
        <w:t>27.4依据《政府采购促进中小企业发展管理办法》（财库〔</w:t>
      </w:r>
      <w:r>
        <w:rPr>
          <w:rFonts w:ascii="宋体" w:hAnsi="宋体" w:eastAsia="宋体"/>
          <w:sz w:val="24"/>
          <w:highlight w:val="none"/>
        </w:rPr>
        <w:t>2020〕46号</w:t>
      </w:r>
      <w:r>
        <w:rPr>
          <w:rFonts w:hint="eastAsia" w:ascii="宋体" w:hAnsi="宋体" w:eastAsia="宋体"/>
          <w:sz w:val="24"/>
          <w:highlight w:val="none"/>
        </w:rPr>
        <w:t>）规定享受扶持政策获得政府采购合同的，小微企业不得将合同分包给大中型企业，中型企业不得将合同分包给大型企业。</w:t>
      </w:r>
    </w:p>
    <w:p w14:paraId="5270C592">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代理费用</w:t>
      </w:r>
    </w:p>
    <w:p w14:paraId="131CF4F9">
      <w:pPr>
        <w:spacing w:line="360" w:lineRule="auto"/>
        <w:ind w:firstLine="435"/>
        <w:rPr>
          <w:rFonts w:hint="eastAsia" w:ascii="宋体" w:hAnsi="宋体" w:eastAsia="宋体"/>
          <w:sz w:val="24"/>
          <w:highlight w:val="none"/>
        </w:rPr>
      </w:pPr>
      <w:r>
        <w:rPr>
          <w:rFonts w:hint="eastAsia" w:ascii="宋体" w:hAnsi="宋体" w:eastAsia="宋体"/>
          <w:sz w:val="24"/>
          <w:highlight w:val="none"/>
        </w:rPr>
        <w:t>28</w:t>
      </w:r>
      <w:r>
        <w:rPr>
          <w:rFonts w:ascii="宋体" w:hAnsi="宋体" w:eastAsia="宋体"/>
          <w:sz w:val="24"/>
          <w:highlight w:val="none"/>
        </w:rPr>
        <w:t>.1</w:t>
      </w:r>
      <w:r>
        <w:rPr>
          <w:rFonts w:hint="eastAsia" w:ascii="宋体" w:hAnsi="宋体" w:eastAsia="宋体"/>
          <w:sz w:val="24"/>
          <w:highlight w:val="none"/>
        </w:rPr>
        <w:t>本项目代理费用的收取按</w:t>
      </w:r>
      <w:r>
        <w:rPr>
          <w:rFonts w:hint="eastAsia" w:asciiTheme="minorEastAsia" w:hAnsiTheme="minorEastAsia" w:eastAsiaTheme="minorEastAsia"/>
          <w:sz w:val="24"/>
          <w:highlight w:val="none"/>
          <w:u w:val="single"/>
        </w:rPr>
        <w:t>投标人须知前附表的</w:t>
      </w:r>
      <w:r>
        <w:rPr>
          <w:rFonts w:hint="eastAsia" w:ascii="宋体" w:hAnsi="宋体" w:eastAsia="宋体"/>
          <w:sz w:val="24"/>
          <w:highlight w:val="none"/>
        </w:rPr>
        <w:t>规定执行</w:t>
      </w:r>
      <w:r>
        <w:rPr>
          <w:rFonts w:hint="eastAsia" w:asciiTheme="minorEastAsia" w:hAnsiTheme="minorEastAsia" w:eastAsiaTheme="minorEastAsia"/>
          <w:sz w:val="24"/>
          <w:highlight w:val="none"/>
        </w:rPr>
        <w:t>。</w:t>
      </w:r>
    </w:p>
    <w:p w14:paraId="52BF0AAC">
      <w:pPr>
        <w:spacing w:line="360" w:lineRule="auto"/>
        <w:ind w:firstLine="437"/>
        <w:outlineLvl w:val="2"/>
        <w:rPr>
          <w:rFonts w:hint="eastAsia" w:asciiTheme="minorEastAsia" w:hAnsiTheme="minorEastAsia" w:eastAsiaTheme="minorEastAsia"/>
          <w:b/>
          <w:sz w:val="24"/>
          <w:highlight w:val="none"/>
        </w:rPr>
      </w:pPr>
      <w:bookmarkStart w:id="32" w:name="_Toc518923100"/>
      <w:bookmarkStart w:id="33" w:name="_Toc2583661"/>
      <w:r>
        <w:rPr>
          <w:rFonts w:hint="eastAsia" w:asciiTheme="minorEastAsia" w:hAnsiTheme="minorEastAsia" w:eastAsiaTheme="minorEastAsia"/>
          <w:b/>
          <w:sz w:val="24"/>
          <w:highlight w:val="none"/>
        </w:rPr>
        <w:t>29.廉洁自律</w:t>
      </w:r>
      <w:r>
        <w:rPr>
          <w:rFonts w:asciiTheme="minorEastAsia" w:hAnsiTheme="minorEastAsia" w:eastAsiaTheme="minorEastAsia"/>
          <w:b/>
          <w:sz w:val="24"/>
          <w:highlight w:val="none"/>
        </w:rPr>
        <w:t>规定</w:t>
      </w:r>
      <w:bookmarkEnd w:id="32"/>
      <w:bookmarkEnd w:id="33"/>
    </w:p>
    <w:p w14:paraId="56DC1483">
      <w:pPr>
        <w:spacing w:line="360" w:lineRule="auto"/>
        <w:ind w:firstLine="435"/>
        <w:rPr>
          <w:rFonts w:hint="eastAsia" w:ascii="宋体" w:hAnsi="宋体" w:eastAsia="宋体"/>
          <w:sz w:val="24"/>
          <w:highlight w:val="none"/>
        </w:rPr>
      </w:pPr>
      <w:r>
        <w:rPr>
          <w:rFonts w:hint="eastAsia" w:ascii="宋体" w:hAnsi="宋体" w:eastAsia="宋体"/>
          <w:sz w:val="24"/>
          <w:highlight w:val="none"/>
        </w:rPr>
        <w:t>29.1采购代理机构</w:t>
      </w:r>
      <w:r>
        <w:rPr>
          <w:rFonts w:ascii="宋体" w:hAnsi="宋体" w:eastAsia="宋体"/>
          <w:sz w:val="24"/>
          <w:highlight w:val="none"/>
        </w:rPr>
        <w:t>工作人员</w:t>
      </w:r>
      <w:r>
        <w:rPr>
          <w:rFonts w:hint="eastAsia" w:ascii="宋体" w:hAnsi="宋体" w:eastAsia="宋体"/>
          <w:sz w:val="24"/>
          <w:highlight w:val="none"/>
        </w:rPr>
        <w:t>不得以不正当手段获取政府采购代理业务，不得与采购人、供应商恶意串通。</w:t>
      </w:r>
    </w:p>
    <w:p w14:paraId="310D597A">
      <w:pPr>
        <w:spacing w:line="360" w:lineRule="auto"/>
        <w:ind w:firstLine="435"/>
        <w:rPr>
          <w:rFonts w:hint="eastAsia" w:ascii="宋体" w:hAnsi="宋体" w:eastAsia="宋体"/>
          <w:sz w:val="24"/>
          <w:highlight w:val="none"/>
        </w:rPr>
      </w:pPr>
      <w:r>
        <w:rPr>
          <w:rFonts w:hint="eastAsia" w:ascii="宋体" w:hAnsi="宋体" w:eastAsia="宋体"/>
          <w:sz w:val="24"/>
          <w:highlight w:val="none"/>
        </w:rPr>
        <w:t>29.</w:t>
      </w:r>
      <w:r>
        <w:rPr>
          <w:rFonts w:ascii="宋体" w:hAnsi="宋体" w:eastAsia="宋体"/>
          <w:sz w:val="24"/>
          <w:highlight w:val="none"/>
        </w:rPr>
        <w:t>2</w:t>
      </w:r>
      <w:r>
        <w:rPr>
          <w:rFonts w:hint="eastAsia" w:ascii="宋体" w:hAnsi="宋体" w:eastAsia="宋体"/>
          <w:sz w:val="24"/>
          <w:highlight w:val="none"/>
        </w:rPr>
        <w:t>采购代理机构工作人员不得接受采购人或者供应商组织的宴请、旅游、娱乐，不得收受礼品、现金、有价证券等，不得向采购人或者供应商报销应当由个人承担的费用。</w:t>
      </w:r>
    </w:p>
    <w:p w14:paraId="41F47942">
      <w:pPr>
        <w:spacing w:line="360" w:lineRule="auto"/>
        <w:ind w:firstLine="437"/>
        <w:outlineLvl w:val="2"/>
        <w:rPr>
          <w:rFonts w:hint="eastAsia" w:asciiTheme="minorEastAsia" w:hAnsiTheme="minorEastAsia" w:eastAsiaTheme="minorEastAsia"/>
          <w:b/>
          <w:sz w:val="24"/>
          <w:highlight w:val="none"/>
        </w:rPr>
      </w:pPr>
      <w:bookmarkStart w:id="34" w:name="_Toc2583662"/>
      <w:bookmarkStart w:id="35" w:name="_Toc518923101"/>
      <w:r>
        <w:rPr>
          <w:rFonts w:hint="eastAsia" w:asciiTheme="minorEastAsia" w:hAnsiTheme="minorEastAsia" w:eastAsiaTheme="minorEastAsia"/>
          <w:b/>
          <w:sz w:val="24"/>
          <w:highlight w:val="none"/>
        </w:rPr>
        <w:t>30.人员回避</w:t>
      </w:r>
      <w:bookmarkEnd w:id="34"/>
      <w:bookmarkEnd w:id="35"/>
    </w:p>
    <w:p w14:paraId="5007977F">
      <w:pPr>
        <w:spacing w:line="360" w:lineRule="auto"/>
        <w:ind w:firstLine="435"/>
        <w:rPr>
          <w:rFonts w:hint="eastAsia" w:ascii="仿宋_GB2312" w:hAnsi="宋体" w:eastAsia="仿宋_GB2312"/>
          <w:sz w:val="24"/>
          <w:highlight w:val="none"/>
        </w:rPr>
      </w:pPr>
      <w:r>
        <w:rPr>
          <w:rFonts w:hint="eastAsia" w:ascii="宋体" w:hAnsi="宋体" w:eastAsia="宋体"/>
          <w:sz w:val="24"/>
          <w:highlight w:val="none"/>
        </w:rPr>
        <w:t>投标人</w:t>
      </w:r>
      <w:r>
        <w:rPr>
          <w:rFonts w:ascii="宋体" w:hAnsi="宋体" w:eastAsia="宋体"/>
          <w:sz w:val="24"/>
          <w:highlight w:val="none"/>
        </w:rPr>
        <w:t>认为采购人员</w:t>
      </w:r>
      <w:r>
        <w:rPr>
          <w:rFonts w:hint="eastAsia" w:ascii="宋体" w:hAnsi="宋体" w:eastAsia="宋体"/>
          <w:sz w:val="24"/>
          <w:highlight w:val="none"/>
        </w:rPr>
        <w:t>及其</w:t>
      </w:r>
      <w:r>
        <w:rPr>
          <w:rFonts w:ascii="宋体" w:hAnsi="宋体" w:eastAsia="宋体"/>
          <w:sz w:val="24"/>
          <w:highlight w:val="none"/>
        </w:rPr>
        <w:t>相关人员有</w:t>
      </w:r>
      <w:r>
        <w:rPr>
          <w:rFonts w:hint="eastAsia" w:ascii="宋体" w:hAnsi="宋体" w:eastAsia="宋体"/>
          <w:sz w:val="24"/>
          <w:highlight w:val="none"/>
        </w:rPr>
        <w:t>法律</w:t>
      </w:r>
      <w:r>
        <w:rPr>
          <w:rFonts w:ascii="宋体" w:hAnsi="宋体" w:eastAsia="宋体"/>
          <w:sz w:val="24"/>
          <w:highlight w:val="none"/>
        </w:rPr>
        <w:t>法规所列与其他供应商</w:t>
      </w:r>
      <w:r>
        <w:rPr>
          <w:rFonts w:hint="eastAsia" w:ascii="宋体" w:hAnsi="宋体" w:eastAsia="宋体"/>
          <w:sz w:val="24"/>
          <w:highlight w:val="none"/>
        </w:rPr>
        <w:t>有</w:t>
      </w:r>
      <w:r>
        <w:rPr>
          <w:rFonts w:ascii="宋体" w:hAnsi="宋体" w:eastAsia="宋体"/>
          <w:sz w:val="24"/>
          <w:highlight w:val="none"/>
        </w:rPr>
        <w:t>利害关系的，可以向</w:t>
      </w:r>
      <w:r>
        <w:rPr>
          <w:rFonts w:hint="eastAsia" w:ascii="宋体" w:hAnsi="宋体" w:eastAsia="宋体"/>
          <w:sz w:val="24"/>
          <w:highlight w:val="none"/>
        </w:rPr>
        <w:t>采购人或</w:t>
      </w:r>
      <w:r>
        <w:rPr>
          <w:rFonts w:ascii="宋体" w:hAnsi="宋体" w:eastAsia="宋体"/>
          <w:sz w:val="24"/>
          <w:highlight w:val="none"/>
        </w:rPr>
        <w:t>采购代理机构书面提出回避申请，并说明理由。</w:t>
      </w:r>
    </w:p>
    <w:p w14:paraId="15E5BB03">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质疑的提出与接收</w:t>
      </w:r>
    </w:p>
    <w:p w14:paraId="41C0BCF6">
      <w:pPr>
        <w:spacing w:line="360" w:lineRule="auto"/>
        <w:ind w:firstLine="435"/>
        <w:rPr>
          <w:rFonts w:hint="eastAsia" w:ascii="宋体" w:hAnsi="宋体" w:eastAsia="宋体"/>
          <w:sz w:val="24"/>
          <w:highlight w:val="none"/>
        </w:rPr>
      </w:pPr>
      <w:r>
        <w:rPr>
          <w:rFonts w:hint="eastAsia" w:ascii="宋体" w:hAnsi="宋体" w:eastAsia="宋体"/>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59408F65">
      <w:pPr>
        <w:spacing w:line="360" w:lineRule="auto"/>
        <w:ind w:firstLine="435"/>
        <w:rPr>
          <w:rFonts w:hint="eastAsia" w:ascii="宋体" w:hAnsi="宋体" w:eastAsia="宋体"/>
          <w:sz w:val="24"/>
          <w:highlight w:val="none"/>
        </w:rPr>
      </w:pPr>
      <w:r>
        <w:rPr>
          <w:rFonts w:hint="eastAsia" w:ascii="宋体" w:hAnsi="宋体" w:eastAsia="宋体"/>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757B3E7D">
      <w:pPr>
        <w:spacing w:line="360" w:lineRule="auto"/>
        <w:ind w:firstLine="435"/>
        <w:rPr>
          <w:rFonts w:hint="eastAsia" w:ascii="宋体" w:hAnsi="宋体" w:eastAsia="宋体"/>
          <w:sz w:val="24"/>
          <w:highlight w:val="none"/>
        </w:rPr>
      </w:pPr>
      <w:r>
        <w:rPr>
          <w:rFonts w:hint="eastAsia" w:ascii="宋体" w:hAnsi="宋体" w:eastAsia="宋体"/>
          <w:sz w:val="24"/>
          <w:highlight w:val="none"/>
        </w:rPr>
        <w:t>31.3采购代理机构质疑函接收部门、联系电话和通讯地址，见</w:t>
      </w:r>
      <w:r>
        <w:rPr>
          <w:rFonts w:hint="eastAsia" w:ascii="宋体" w:hAnsi="宋体" w:eastAsia="宋体"/>
          <w:sz w:val="24"/>
          <w:highlight w:val="none"/>
          <w:u w:val="single"/>
        </w:rPr>
        <w:t>投标人须知前附表</w:t>
      </w:r>
      <w:r>
        <w:rPr>
          <w:rFonts w:hint="eastAsia" w:ascii="宋体" w:hAnsi="宋体" w:eastAsia="宋体"/>
          <w:sz w:val="24"/>
          <w:highlight w:val="none"/>
        </w:rPr>
        <w:t>。</w:t>
      </w:r>
    </w:p>
    <w:p w14:paraId="70485C73">
      <w:pPr>
        <w:spacing w:line="360" w:lineRule="auto"/>
        <w:ind w:firstLine="435"/>
        <w:rPr>
          <w:rFonts w:hint="eastAsia" w:ascii="宋体" w:hAnsi="宋体" w:eastAsia="宋体"/>
          <w:b/>
          <w:bCs/>
          <w:sz w:val="24"/>
          <w:highlight w:val="none"/>
        </w:rPr>
      </w:pPr>
      <w:r>
        <w:rPr>
          <w:rFonts w:hint="eastAsia" w:ascii="宋体" w:hAnsi="宋体" w:eastAsia="宋体"/>
          <w:b/>
          <w:bCs/>
          <w:sz w:val="24"/>
          <w:highlight w:val="none"/>
        </w:rPr>
        <w:t>32. 投诉</w:t>
      </w:r>
    </w:p>
    <w:p w14:paraId="0B835850">
      <w:pPr>
        <w:wordWrap w:val="0"/>
        <w:spacing w:line="360" w:lineRule="auto"/>
        <w:ind w:firstLine="437"/>
        <w:rPr>
          <w:rFonts w:hint="eastAsia" w:ascii="宋体" w:hAnsi="宋体" w:eastAsia="宋体"/>
          <w:sz w:val="24"/>
          <w:highlight w:val="none"/>
        </w:rPr>
      </w:pPr>
      <w:r>
        <w:rPr>
          <w:rFonts w:hint="eastAsia" w:ascii="宋体" w:hAnsi="宋体" w:eastAsia="宋体"/>
          <w:sz w:val="24"/>
          <w:highlight w:val="none"/>
        </w:rPr>
        <w:t>32.1质疑投标人对采购人、采购代理机构的答复不满意，或者采购人、采购代理机构未在规定的时间内答复的，可以在答复期满后十五个工作日内按有关规定，以书面形式向同级政府采购监督管理部门提出投诉。</w:t>
      </w:r>
    </w:p>
    <w:p w14:paraId="21C6E108">
      <w:pPr>
        <w:wordWrap w:val="0"/>
        <w:spacing w:line="360" w:lineRule="auto"/>
        <w:ind w:firstLine="437"/>
        <w:rPr>
          <w:rFonts w:hint="eastAsia" w:ascii="宋体" w:hAnsi="宋体" w:eastAsia="宋体"/>
          <w:sz w:val="24"/>
          <w:highlight w:val="none"/>
        </w:rPr>
      </w:pPr>
      <w:r>
        <w:rPr>
          <w:rFonts w:hint="eastAsia" w:ascii="宋体" w:hAnsi="宋体" w:eastAsia="宋体"/>
          <w:sz w:val="24"/>
          <w:highlight w:val="none"/>
        </w:rPr>
        <w:t>32.2政府采购监督管理部门应当在收到投诉后30个工作日内，对投诉事项作出处理决定，并以书面形式通知投诉人和与投诉事项有关的当事人。政府采购监督管理部门处理投诉事项，需要检验、检测、鉴定、专家评审以及需要投诉人补正材料的，所需时间不计算在投诉处理期限内。</w:t>
      </w:r>
    </w:p>
    <w:p w14:paraId="3D780591">
      <w:pPr>
        <w:spacing w:line="360" w:lineRule="auto"/>
        <w:ind w:firstLine="435"/>
        <w:rPr>
          <w:rFonts w:hint="eastAsia" w:ascii="宋体" w:hAnsi="宋体" w:eastAsia="宋体"/>
          <w:sz w:val="24"/>
          <w:highlight w:val="none"/>
        </w:rPr>
      </w:pPr>
      <w:r>
        <w:rPr>
          <w:rFonts w:hint="eastAsia" w:ascii="宋体" w:hAnsi="宋体" w:eastAsia="宋体"/>
          <w:sz w:val="24"/>
          <w:highlight w:val="none"/>
        </w:rPr>
        <w:t>32.3政府采购监督管理部门在处理投诉事项期间，可以视具体情况书面通知采购人暂停采购活动，但暂停时间最长不得超过30日。</w:t>
      </w:r>
    </w:p>
    <w:p w14:paraId="2E36C898">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需要补充的其他内容</w:t>
      </w:r>
    </w:p>
    <w:p w14:paraId="49A43283">
      <w:pPr>
        <w:widowControl/>
        <w:ind w:firstLine="240" w:firstLineChars="100"/>
        <w:jc w:val="left"/>
        <w:rPr>
          <w:rFonts w:hint="eastAsia" w:asciiTheme="minorEastAsia" w:hAnsiTheme="minorEastAsia" w:eastAsiaTheme="minorEastAsia"/>
          <w:b/>
          <w:sz w:val="28"/>
          <w:highlight w:val="none"/>
        </w:rPr>
      </w:pPr>
      <w:r>
        <w:rPr>
          <w:rFonts w:hint="eastAsia" w:asciiTheme="minorEastAsia" w:hAnsiTheme="minorEastAsia" w:eastAsiaTheme="minorEastAsia"/>
          <w:sz w:val="24"/>
          <w:highlight w:val="none"/>
        </w:rPr>
        <w:t>需要补充的其他内容，见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br w:type="page"/>
      </w:r>
    </w:p>
    <w:p w14:paraId="72FD1EF2">
      <w:pPr>
        <w:spacing w:line="360" w:lineRule="auto"/>
        <w:jc w:val="center"/>
        <w:outlineLvl w:val="0"/>
        <w:rPr>
          <w:rFonts w:hint="eastAsia" w:asciiTheme="minorEastAsia" w:hAnsiTheme="minorEastAsia" w:eastAsiaTheme="minorEastAsia"/>
          <w:b/>
          <w:sz w:val="28"/>
          <w:highlight w:val="none"/>
        </w:rPr>
      </w:pPr>
      <w:bookmarkStart w:id="36" w:name="_Toc17699"/>
      <w:r>
        <w:rPr>
          <w:rFonts w:hint="eastAsia" w:asciiTheme="minorEastAsia" w:hAnsiTheme="minorEastAsia" w:eastAsiaTheme="minorEastAsia"/>
          <w:b/>
          <w:sz w:val="28"/>
          <w:highlight w:val="none"/>
        </w:rPr>
        <w:t>第三章  采购需求</w:t>
      </w:r>
      <w:bookmarkEnd w:id="36"/>
    </w:p>
    <w:p w14:paraId="0B2DA14E">
      <w:pPr>
        <w:spacing w:line="360" w:lineRule="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768FA42E">
      <w:pPr>
        <w:tabs>
          <w:tab w:val="left" w:pos="7005"/>
        </w:tabs>
        <w:spacing w:line="360" w:lineRule="auto"/>
        <w:ind w:firstLine="435"/>
        <w:rPr>
          <w:rFonts w:hint="eastAsia" w:ascii="宋体" w:hAnsi="宋体" w:eastAsia="宋体" w:cs="宋体"/>
          <w:b/>
          <w:bCs/>
          <w:sz w:val="24"/>
          <w:szCs w:val="24"/>
          <w:highlight w:val="none"/>
        </w:rPr>
      </w:pPr>
      <w:r>
        <w:rPr>
          <w:rFonts w:hint="eastAsia" w:asciiTheme="minorEastAsia" w:hAnsiTheme="minorEastAsia" w:eastAsiaTheme="minorEastAsia"/>
          <w:b/>
          <w:bCs/>
          <w:sz w:val="24"/>
          <w:highlight w:val="none"/>
        </w:rPr>
        <w:t>1.</w:t>
      </w:r>
      <w:r>
        <w:rPr>
          <w:rFonts w:hint="eastAsia" w:ascii="宋体" w:hAnsi="宋体" w:eastAsia="宋体" w:cs="宋体"/>
          <w:b/>
          <w:bCs/>
          <w:sz w:val="24"/>
          <w:szCs w:val="24"/>
          <w:highlight w:val="none"/>
        </w:rPr>
        <w:t>采购标的对应的中小企业划分标准所属行业：工业。</w:t>
      </w:r>
    </w:p>
    <w:p w14:paraId="43DFD0E7">
      <w:pPr>
        <w:spacing w:line="360" w:lineRule="auto"/>
        <w:ind w:firstLine="437"/>
        <w:outlineLvl w:val="1"/>
        <w:rPr>
          <w:rFonts w:hint="eastAsia" w:ascii="宋体" w:hAnsi="宋体" w:eastAsia="宋体"/>
          <w:b/>
          <w:sz w:val="24"/>
          <w:szCs w:val="18"/>
          <w:highlight w:val="none"/>
        </w:rPr>
      </w:pPr>
      <w:bookmarkStart w:id="37" w:name="_Toc31938"/>
      <w:bookmarkStart w:id="38" w:name="_Toc32151"/>
      <w:bookmarkStart w:id="39" w:name="_Toc2554"/>
      <w:r>
        <w:rPr>
          <w:rFonts w:hint="eastAsia" w:ascii="宋体" w:hAnsi="宋体" w:eastAsia="宋体"/>
          <w:b/>
          <w:sz w:val="24"/>
          <w:szCs w:val="18"/>
          <w:highlight w:val="none"/>
        </w:rPr>
        <w:t>一、采购需求前附表</w:t>
      </w:r>
      <w:bookmarkEnd w:id="37"/>
      <w:bookmarkEnd w:id="38"/>
      <w:bookmarkEnd w:id="39"/>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215"/>
        <w:gridCol w:w="5977"/>
      </w:tblGrid>
      <w:tr w14:paraId="2062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141DB34">
            <w:pPr>
              <w:pStyle w:val="44"/>
              <w:pBdr>
                <w:bottom w:val="none" w:color="auto" w:sz="0" w:space="0"/>
              </w:pBdr>
              <w:tabs>
                <w:tab w:val="clear" w:pos="4153"/>
                <w:tab w:val="clear" w:pos="8306"/>
              </w:tabs>
              <w:adjustRightInd/>
              <w:spacing w:line="240" w:lineRule="auto"/>
              <w:textAlignment w:val="auto"/>
              <w:rPr>
                <w:rFonts w:hint="eastAsia"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71AC0D09">
            <w:pPr>
              <w:pStyle w:val="43"/>
              <w:widowControl w:val="0"/>
              <w:spacing w:before="0" w:beforeAutospacing="0" w:after="0" w:afterAutospacing="0" w:line="360" w:lineRule="auto"/>
              <w:rPr>
                <w:rFonts w:hint="eastAsia"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0E6BAB26">
            <w:pPr>
              <w:pStyle w:val="43"/>
              <w:widowControl w:val="0"/>
              <w:spacing w:before="0" w:beforeAutospacing="0" w:after="0" w:afterAutospacing="0" w:line="360" w:lineRule="auto"/>
              <w:rPr>
                <w:rFonts w:hint="eastAsia" w:ascii="宋体" w:hAnsi="宋体" w:eastAsia="宋体"/>
                <w:bCs w:val="0"/>
                <w:sz w:val="24"/>
                <w:highlight w:val="none"/>
              </w:rPr>
            </w:pPr>
            <w:r>
              <w:rPr>
                <w:rFonts w:hint="eastAsia" w:ascii="宋体" w:hAnsi="宋体" w:eastAsia="宋体"/>
                <w:bCs w:val="0"/>
                <w:sz w:val="24"/>
                <w:highlight w:val="none"/>
              </w:rPr>
              <w:t>内容、说明与要求</w:t>
            </w:r>
          </w:p>
        </w:tc>
      </w:tr>
      <w:tr w14:paraId="2048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A724724">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4003558F">
            <w:pPr>
              <w:pStyle w:val="43"/>
              <w:widowControl w:val="0"/>
              <w:spacing w:before="0" w:beforeAutospacing="0" w:after="0" w:afterAutospacing="0" w:line="360" w:lineRule="auto"/>
              <w:rPr>
                <w:rFonts w:hint="eastAsia"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14:paraId="561B01FD">
            <w:pPr>
              <w:pStyle w:val="4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合同、担保措施生效并具备实施条件后5个工作日内采购人向中标人支付预付款，预付款为合同价款的 40%（中标人须提交银行、保险公司、担保公司等金融机构出具的预付款保函（保函须使用见索即付型）或其他担保措施），</w:t>
            </w:r>
            <w:r>
              <w:rPr>
                <w:rFonts w:hint="eastAsia" w:ascii="宋体" w:hAnsi="宋体" w:eastAsia="宋体"/>
                <w:b w:val="0"/>
                <w:sz w:val="24"/>
                <w:highlight w:val="none"/>
                <w:lang w:eastAsia="zh-CN"/>
              </w:rPr>
              <w:t>剩余价款按照供货分批次进行付款</w:t>
            </w:r>
            <w:r>
              <w:rPr>
                <w:rFonts w:hint="eastAsia" w:ascii="宋体" w:hAnsi="宋体" w:eastAsia="宋体"/>
                <w:b w:val="0"/>
                <w:sz w:val="24"/>
                <w:highlight w:val="none"/>
              </w:rPr>
              <w:t>。</w:t>
            </w:r>
          </w:p>
        </w:tc>
      </w:tr>
      <w:tr w14:paraId="5678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3CF2AF8">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55360EDA">
            <w:pPr>
              <w:pStyle w:val="43"/>
              <w:widowControl w:val="0"/>
              <w:spacing w:before="0" w:beforeAutospacing="0" w:after="0" w:afterAutospacing="0" w:line="360" w:lineRule="auto"/>
              <w:rPr>
                <w:rFonts w:hint="eastAsia" w:ascii="宋体" w:hAnsi="宋体" w:eastAsia="宋体"/>
                <w:b w:val="0"/>
                <w:sz w:val="24"/>
                <w:highlight w:val="none"/>
              </w:rPr>
            </w:pPr>
            <w:r>
              <w:rPr>
                <w:rFonts w:hint="eastAsia" w:ascii="宋体" w:hAnsi="宋体" w:eastAsia="宋体"/>
                <w:b w:val="0"/>
                <w:sz w:val="24"/>
                <w:highlight w:val="none"/>
              </w:rPr>
              <w:t>供货及安装地点</w:t>
            </w:r>
          </w:p>
        </w:tc>
        <w:tc>
          <w:tcPr>
            <w:tcW w:w="3217" w:type="pct"/>
            <w:vAlign w:val="center"/>
          </w:tcPr>
          <w:p w14:paraId="3A126894">
            <w:pPr>
              <w:pStyle w:val="4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滁州市辖区，采购人指定地点。</w:t>
            </w:r>
          </w:p>
        </w:tc>
      </w:tr>
      <w:tr w14:paraId="0B0E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0F35A42">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7885813B">
            <w:pPr>
              <w:pStyle w:val="43"/>
              <w:widowControl w:val="0"/>
              <w:spacing w:before="0" w:beforeAutospacing="0" w:after="0" w:afterAutospacing="0" w:line="360" w:lineRule="auto"/>
              <w:rPr>
                <w:rFonts w:hint="eastAsia" w:ascii="宋体" w:hAnsi="宋体" w:eastAsia="宋体"/>
                <w:b w:val="0"/>
                <w:sz w:val="24"/>
                <w:highlight w:val="none"/>
              </w:rPr>
            </w:pPr>
            <w:r>
              <w:rPr>
                <w:rFonts w:hint="eastAsia" w:ascii="宋体" w:hAnsi="宋体" w:eastAsia="宋体"/>
                <w:b w:val="0"/>
                <w:sz w:val="24"/>
                <w:highlight w:val="none"/>
              </w:rPr>
              <w:t>供货期限</w:t>
            </w:r>
          </w:p>
        </w:tc>
        <w:tc>
          <w:tcPr>
            <w:tcW w:w="3217" w:type="pct"/>
            <w:vAlign w:val="center"/>
          </w:tcPr>
          <w:p w14:paraId="04B89FC7">
            <w:pPr>
              <w:pStyle w:val="4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lang w:eastAsia="zh-CN"/>
              </w:rPr>
              <w:t>合同签订后，按照采购人工作需求分批次进行供货</w:t>
            </w:r>
            <w:r>
              <w:rPr>
                <w:rFonts w:hint="eastAsia" w:ascii="宋体" w:hAnsi="宋体" w:eastAsia="宋体"/>
                <w:b w:val="0"/>
                <w:sz w:val="24"/>
                <w:highlight w:val="none"/>
              </w:rPr>
              <w:t>。</w:t>
            </w:r>
          </w:p>
        </w:tc>
      </w:tr>
      <w:tr w14:paraId="5055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9201F2A">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szCs w:val="28"/>
                <w:highlight w:val="none"/>
              </w:rPr>
            </w:pPr>
            <w:r>
              <w:rPr>
                <w:rFonts w:hint="eastAsia" w:ascii="宋体" w:hAnsi="宋体" w:eastAsia="宋体"/>
                <w:bCs/>
                <w:szCs w:val="28"/>
                <w:highlight w:val="none"/>
              </w:rPr>
              <w:t>4</w:t>
            </w:r>
          </w:p>
        </w:tc>
        <w:tc>
          <w:tcPr>
            <w:tcW w:w="1192" w:type="pct"/>
            <w:vAlign w:val="center"/>
          </w:tcPr>
          <w:p w14:paraId="6C4FA9CD">
            <w:pPr>
              <w:pStyle w:val="43"/>
              <w:widowControl w:val="0"/>
              <w:spacing w:before="0" w:beforeAutospacing="0" w:after="0" w:afterAutospacing="0" w:line="360" w:lineRule="auto"/>
              <w:rPr>
                <w:rFonts w:hint="eastAsia" w:ascii="宋体" w:hAnsi="宋体" w:eastAsia="宋体"/>
                <w:b w:val="0"/>
                <w:sz w:val="24"/>
                <w:highlight w:val="none"/>
              </w:rPr>
            </w:pPr>
            <w:r>
              <w:rPr>
                <w:rFonts w:hint="eastAsia" w:ascii="宋体" w:hAnsi="宋体" w:eastAsia="宋体"/>
                <w:b w:val="0"/>
                <w:sz w:val="24"/>
                <w:highlight w:val="none"/>
              </w:rPr>
              <w:t>免费质保期</w:t>
            </w:r>
          </w:p>
        </w:tc>
        <w:tc>
          <w:tcPr>
            <w:tcW w:w="3217" w:type="pct"/>
            <w:vAlign w:val="center"/>
          </w:tcPr>
          <w:p w14:paraId="2F93DECD">
            <w:pPr>
              <w:widowControl/>
              <w:jc w:val="left"/>
              <w:rPr>
                <w:rFonts w:hint="eastAsia" w:ascii="宋体" w:hAnsi="宋体" w:eastAsia="宋体"/>
                <w:bCs/>
                <w:kern w:val="0"/>
                <w:sz w:val="24"/>
                <w:szCs w:val="28"/>
                <w:highlight w:val="none"/>
              </w:rPr>
            </w:pPr>
            <w:r>
              <w:rPr>
                <w:rFonts w:hint="eastAsia" w:ascii="宋体" w:hAnsi="宋体" w:eastAsia="宋体" w:cs="@仿宋_GB2312"/>
                <w:b w:val="0"/>
                <w:bCs/>
                <w:color w:val="auto"/>
                <w:kern w:val="0"/>
                <w:sz w:val="24"/>
                <w:szCs w:val="28"/>
                <w:highlight w:val="none"/>
                <w:u w:val="none"/>
                <w:lang w:val="en-US" w:eastAsia="zh-CN" w:bidi="ar-SA"/>
              </w:rPr>
              <w:t>同试剂批次有效期（具体以投标人承诺的期限为准）</w:t>
            </w:r>
          </w:p>
        </w:tc>
      </w:tr>
    </w:tbl>
    <w:p w14:paraId="269FF09F">
      <w:pPr>
        <w:spacing w:line="360" w:lineRule="auto"/>
        <w:outlineLvl w:val="1"/>
        <w:rPr>
          <w:rFonts w:hint="eastAsia" w:ascii="宋体" w:hAnsi="宋体" w:eastAsia="宋体"/>
          <w:b/>
          <w:bCs/>
          <w:sz w:val="24"/>
          <w:szCs w:val="18"/>
          <w:highlight w:val="none"/>
        </w:rPr>
      </w:pPr>
      <w:bookmarkStart w:id="40" w:name="_Toc5944"/>
      <w:bookmarkStart w:id="41" w:name="_Toc16257"/>
      <w:bookmarkStart w:id="42" w:name="_Toc7671"/>
      <w:r>
        <w:rPr>
          <w:rFonts w:hint="eastAsia" w:ascii="宋体" w:hAnsi="宋体" w:eastAsia="宋体"/>
          <w:b/>
          <w:bCs/>
          <w:sz w:val="24"/>
          <w:szCs w:val="18"/>
          <w:highlight w:val="none"/>
        </w:rPr>
        <w:t>二、</w:t>
      </w:r>
      <w:r>
        <w:rPr>
          <w:rFonts w:hint="eastAsia" w:ascii="宋体" w:hAnsi="宋体" w:eastAsia="宋体"/>
          <w:b/>
          <w:sz w:val="24"/>
          <w:szCs w:val="18"/>
          <w:highlight w:val="none"/>
        </w:rPr>
        <w:t>货物</w:t>
      </w:r>
      <w:r>
        <w:rPr>
          <w:rFonts w:hint="eastAsia" w:ascii="宋体" w:hAnsi="宋体" w:eastAsia="宋体"/>
          <w:b/>
          <w:bCs/>
          <w:sz w:val="24"/>
          <w:szCs w:val="18"/>
          <w:highlight w:val="none"/>
        </w:rPr>
        <w:t>需求</w:t>
      </w:r>
      <w:bookmarkEnd w:id="40"/>
      <w:bookmarkEnd w:id="41"/>
      <w:bookmarkEnd w:id="42"/>
    </w:p>
    <w:tbl>
      <w:tblPr>
        <w:tblStyle w:val="69"/>
        <w:tblpPr w:leftFromText="180" w:rightFromText="180" w:vertAnchor="text" w:horzAnchor="page" w:tblpXSpec="center" w:tblpY="197"/>
        <w:tblOverlap w:val="never"/>
        <w:tblW w:w="90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403"/>
        <w:gridCol w:w="1327"/>
        <w:gridCol w:w="2148"/>
        <w:gridCol w:w="1732"/>
        <w:gridCol w:w="1732"/>
      </w:tblGrid>
      <w:tr w14:paraId="23D1A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57108835">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rPr>
            </w:pPr>
            <w:bookmarkStart w:id="43" w:name="_Toc4843"/>
            <w:bookmarkStart w:id="44" w:name="_Toc7421"/>
            <w:bookmarkStart w:id="45" w:name="_Toc14238"/>
            <w:r>
              <w:rPr>
                <w:rFonts w:hint="eastAsia" w:ascii="宋体" w:hAnsi="宋体" w:eastAsia="宋体" w:cs="宋体"/>
                <w:spacing w:val="-4"/>
                <w:sz w:val="24"/>
                <w:szCs w:val="24"/>
              </w:rPr>
              <w:t>项目</w:t>
            </w:r>
          </w:p>
        </w:tc>
        <w:tc>
          <w:tcPr>
            <w:tcW w:w="2730" w:type="dxa"/>
            <w:gridSpan w:val="2"/>
            <w:tcBorders>
              <w:left w:val="single" w:color="auto" w:sz="4" w:space="0"/>
              <w:bottom w:val="single" w:color="auto" w:sz="4" w:space="0"/>
            </w:tcBorders>
            <w:vAlign w:val="center"/>
          </w:tcPr>
          <w:p w14:paraId="6359EC45">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HIV</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试剂</w:t>
            </w:r>
          </w:p>
        </w:tc>
        <w:tc>
          <w:tcPr>
            <w:tcW w:w="3880" w:type="dxa"/>
            <w:gridSpan w:val="2"/>
            <w:tcBorders>
              <w:bottom w:val="single" w:color="auto" w:sz="4" w:space="0"/>
            </w:tcBorders>
            <w:vAlign w:val="center"/>
          </w:tcPr>
          <w:p w14:paraId="0CCAC5F8">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rPr>
              <w:t>梅毒螺旋体抗原血清学试剂类</w:t>
            </w:r>
          </w:p>
        </w:tc>
        <w:tc>
          <w:tcPr>
            <w:tcW w:w="1732" w:type="dxa"/>
            <w:tcBorders>
              <w:bottom w:val="single" w:color="auto" w:sz="4" w:space="0"/>
            </w:tcBorders>
            <w:vAlign w:val="center"/>
          </w:tcPr>
          <w:p w14:paraId="48E9065D">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乙肝五项</w:t>
            </w:r>
          </w:p>
          <w:p w14:paraId="56A8741E">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（核心产品）</w:t>
            </w:r>
          </w:p>
        </w:tc>
      </w:tr>
      <w:tr w14:paraId="22F46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20BBBBBA">
            <w:pPr>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highlight w:val="none"/>
              </w:rPr>
            </w:pPr>
          </w:p>
        </w:tc>
        <w:tc>
          <w:tcPr>
            <w:tcW w:w="1403" w:type="dxa"/>
            <w:tcBorders>
              <w:top w:val="single" w:color="auto" w:sz="4" w:space="0"/>
              <w:left w:val="single" w:color="auto" w:sz="4" w:space="0"/>
              <w:bottom w:val="single" w:color="auto" w:sz="4" w:space="0"/>
              <w:right w:val="single" w:color="auto" w:sz="4" w:space="0"/>
            </w:tcBorders>
            <w:vAlign w:val="center"/>
          </w:tcPr>
          <w:p w14:paraId="28A224EE">
            <w:pPr>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highlight w:val="none"/>
              </w:rPr>
            </w:pPr>
          </w:p>
          <w:p w14:paraId="6CB0BB4F">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第</w:t>
            </w:r>
            <w:r>
              <w:rPr>
                <w:rFonts w:hint="eastAsia" w:ascii="宋体" w:hAnsi="宋体" w:eastAsia="宋体" w:cs="宋体"/>
                <w:spacing w:val="-35"/>
                <w:sz w:val="24"/>
                <w:szCs w:val="24"/>
                <w:highlight w:val="none"/>
              </w:rPr>
              <w:t xml:space="preserve"> </w:t>
            </w:r>
            <w:r>
              <w:rPr>
                <w:rFonts w:hint="eastAsia" w:ascii="宋体" w:hAnsi="宋体" w:eastAsia="宋体" w:cs="宋体"/>
                <w:spacing w:val="-8"/>
                <w:sz w:val="24"/>
                <w:szCs w:val="24"/>
                <w:highlight w:val="none"/>
              </w:rPr>
              <w:t>1</w:t>
            </w:r>
            <w:r>
              <w:rPr>
                <w:rFonts w:hint="eastAsia" w:ascii="宋体" w:hAnsi="宋体" w:eastAsia="宋体" w:cs="宋体"/>
                <w:spacing w:val="-53"/>
                <w:sz w:val="24"/>
                <w:szCs w:val="24"/>
                <w:highlight w:val="none"/>
              </w:rPr>
              <w:t xml:space="preserve"> </w:t>
            </w:r>
            <w:r>
              <w:rPr>
                <w:rFonts w:hint="eastAsia" w:ascii="宋体" w:hAnsi="宋体" w:eastAsia="宋体" w:cs="宋体"/>
                <w:spacing w:val="-8"/>
                <w:sz w:val="24"/>
                <w:szCs w:val="24"/>
                <w:highlight w:val="none"/>
              </w:rPr>
              <w:t>种快速试</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剂（人份）</w:t>
            </w:r>
          </w:p>
        </w:tc>
        <w:tc>
          <w:tcPr>
            <w:tcW w:w="1327" w:type="dxa"/>
            <w:tcBorders>
              <w:top w:val="single" w:color="auto" w:sz="4" w:space="0"/>
              <w:left w:val="single" w:color="auto" w:sz="4" w:space="0"/>
              <w:bottom w:val="single" w:color="auto" w:sz="4" w:space="0"/>
              <w:right w:val="single" w:color="auto" w:sz="4" w:space="0"/>
            </w:tcBorders>
            <w:vAlign w:val="center"/>
          </w:tcPr>
          <w:p w14:paraId="4B27D28A">
            <w:pPr>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highlight w:val="none"/>
              </w:rPr>
            </w:pPr>
          </w:p>
          <w:p w14:paraId="2651A2F0">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第</w:t>
            </w:r>
            <w:r>
              <w:rPr>
                <w:rFonts w:hint="eastAsia" w:ascii="宋体" w:hAnsi="宋体" w:eastAsia="宋体" w:cs="宋体"/>
                <w:spacing w:val="-47"/>
                <w:sz w:val="24"/>
                <w:szCs w:val="24"/>
                <w:highlight w:val="none"/>
              </w:rPr>
              <w:t xml:space="preserve"> </w:t>
            </w:r>
            <w:r>
              <w:rPr>
                <w:rFonts w:hint="eastAsia" w:ascii="宋体" w:hAnsi="宋体" w:eastAsia="宋体" w:cs="宋体"/>
                <w:spacing w:val="-6"/>
                <w:sz w:val="24"/>
                <w:szCs w:val="24"/>
                <w:highlight w:val="none"/>
              </w:rPr>
              <w:t>2</w:t>
            </w:r>
            <w:r>
              <w:rPr>
                <w:rFonts w:hint="eastAsia" w:ascii="宋体" w:hAnsi="宋体" w:eastAsia="宋体" w:cs="宋体"/>
                <w:spacing w:val="-53"/>
                <w:sz w:val="24"/>
                <w:szCs w:val="24"/>
                <w:highlight w:val="none"/>
              </w:rPr>
              <w:t xml:space="preserve"> </w:t>
            </w:r>
            <w:r>
              <w:rPr>
                <w:rFonts w:hint="eastAsia" w:ascii="宋体" w:hAnsi="宋体" w:eastAsia="宋体" w:cs="宋体"/>
                <w:spacing w:val="-6"/>
                <w:sz w:val="24"/>
                <w:szCs w:val="24"/>
                <w:highlight w:val="none"/>
              </w:rPr>
              <w:t>种快速试</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剂（人份）</w:t>
            </w:r>
          </w:p>
        </w:tc>
        <w:tc>
          <w:tcPr>
            <w:tcW w:w="2148" w:type="dxa"/>
            <w:tcBorders>
              <w:top w:val="single" w:color="auto" w:sz="4" w:space="0"/>
              <w:left w:val="single" w:color="auto" w:sz="4" w:space="0"/>
              <w:bottom w:val="single" w:color="auto" w:sz="4" w:space="0"/>
              <w:right w:val="single" w:color="auto" w:sz="4" w:space="0"/>
            </w:tcBorders>
            <w:vAlign w:val="center"/>
          </w:tcPr>
          <w:p w14:paraId="2BE4B79C">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快速试剂（人份）</w:t>
            </w:r>
          </w:p>
        </w:tc>
        <w:tc>
          <w:tcPr>
            <w:tcW w:w="1732" w:type="dxa"/>
            <w:tcBorders>
              <w:top w:val="single" w:color="auto" w:sz="4" w:space="0"/>
              <w:left w:val="single" w:color="auto" w:sz="4" w:space="0"/>
              <w:bottom w:val="single" w:color="auto" w:sz="4" w:space="0"/>
              <w:right w:val="single" w:color="auto" w:sz="4" w:space="0"/>
            </w:tcBorders>
            <w:vAlign w:val="center"/>
          </w:tcPr>
          <w:p w14:paraId="57F8139D">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TPPA（</w:t>
            </w:r>
            <w:r>
              <w:rPr>
                <w:rFonts w:hint="eastAsia" w:ascii="宋体" w:hAnsi="宋体" w:eastAsia="宋体" w:cs="宋体"/>
                <w:sz w:val="24"/>
                <w:szCs w:val="24"/>
                <w:highlight w:val="none"/>
                <w:lang w:eastAsia="zh-CN"/>
              </w:rPr>
              <w:t>人份</w:t>
            </w:r>
            <w:r>
              <w:rPr>
                <w:rFonts w:hint="eastAsia" w:ascii="宋体" w:hAnsi="宋体" w:eastAsia="宋体" w:cs="宋体"/>
                <w:sz w:val="24"/>
                <w:szCs w:val="24"/>
                <w:highlight w:val="none"/>
              </w:rPr>
              <w:t>）</w:t>
            </w:r>
          </w:p>
        </w:tc>
        <w:tc>
          <w:tcPr>
            <w:tcW w:w="1732" w:type="dxa"/>
            <w:tcBorders>
              <w:top w:val="single" w:color="auto" w:sz="4" w:space="0"/>
              <w:left w:val="single" w:color="auto" w:sz="4" w:space="0"/>
              <w:bottom w:val="single" w:color="auto" w:sz="4" w:space="0"/>
              <w:right w:val="single" w:color="auto" w:sz="4" w:space="0"/>
            </w:tcBorders>
            <w:vAlign w:val="center"/>
          </w:tcPr>
          <w:p w14:paraId="1B01266E">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hanging="3" w:firstLineChars="0"/>
              <w:jc w:val="center"/>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快速试剂（人</w:t>
            </w:r>
            <w:r>
              <w:rPr>
                <w:rFonts w:hint="eastAsia" w:ascii="宋体" w:hAnsi="宋体" w:eastAsia="宋体" w:cs="宋体"/>
                <w:spacing w:val="4"/>
                <w:sz w:val="24"/>
                <w:szCs w:val="24"/>
                <w:highlight w:val="none"/>
              </w:rPr>
              <w:t xml:space="preserve"> </w:t>
            </w:r>
            <w:r>
              <w:rPr>
                <w:rFonts w:hint="eastAsia" w:ascii="宋体" w:hAnsi="宋体" w:eastAsia="宋体" w:cs="宋体"/>
                <w:spacing w:val="-7"/>
                <w:sz w:val="24"/>
                <w:szCs w:val="24"/>
                <w:highlight w:val="none"/>
              </w:rPr>
              <w:t>份）</w:t>
            </w:r>
          </w:p>
        </w:tc>
      </w:tr>
      <w:tr w14:paraId="61D80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45480A4F">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数量</w:t>
            </w:r>
          </w:p>
        </w:tc>
        <w:tc>
          <w:tcPr>
            <w:tcW w:w="1403" w:type="dxa"/>
            <w:tcBorders>
              <w:top w:val="single" w:color="auto" w:sz="4" w:space="0"/>
              <w:left w:val="single" w:color="auto" w:sz="4" w:space="0"/>
              <w:bottom w:val="single" w:color="auto" w:sz="4" w:space="0"/>
              <w:right w:val="single" w:color="auto" w:sz="4" w:space="0"/>
            </w:tcBorders>
            <w:vAlign w:val="center"/>
          </w:tcPr>
          <w:p w14:paraId="7F4C334C">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10400</w:t>
            </w:r>
          </w:p>
        </w:tc>
        <w:tc>
          <w:tcPr>
            <w:tcW w:w="1327" w:type="dxa"/>
            <w:tcBorders>
              <w:top w:val="single" w:color="auto" w:sz="4" w:space="0"/>
              <w:left w:val="single" w:color="auto" w:sz="4" w:space="0"/>
              <w:bottom w:val="single" w:color="auto" w:sz="4" w:space="0"/>
              <w:right w:val="single" w:color="auto" w:sz="4" w:space="0"/>
            </w:tcBorders>
            <w:vAlign w:val="center"/>
          </w:tcPr>
          <w:p w14:paraId="6408AAF0">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10800</w:t>
            </w:r>
          </w:p>
        </w:tc>
        <w:tc>
          <w:tcPr>
            <w:tcW w:w="2148" w:type="dxa"/>
            <w:tcBorders>
              <w:top w:val="single" w:color="auto" w:sz="4" w:space="0"/>
              <w:left w:val="single" w:color="auto" w:sz="4" w:space="0"/>
              <w:bottom w:val="single" w:color="auto" w:sz="4" w:space="0"/>
              <w:right w:val="single" w:color="auto" w:sz="4" w:space="0"/>
            </w:tcBorders>
            <w:vAlign w:val="center"/>
          </w:tcPr>
          <w:p w14:paraId="402D14C9">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21200</w:t>
            </w:r>
          </w:p>
        </w:tc>
        <w:tc>
          <w:tcPr>
            <w:tcW w:w="1732" w:type="dxa"/>
            <w:tcBorders>
              <w:top w:val="single" w:color="auto" w:sz="4" w:space="0"/>
              <w:left w:val="single" w:color="auto" w:sz="4" w:space="0"/>
              <w:bottom w:val="single" w:color="auto" w:sz="4" w:space="0"/>
              <w:right w:val="single" w:color="auto" w:sz="4" w:space="0"/>
            </w:tcBorders>
            <w:vAlign w:val="center"/>
          </w:tcPr>
          <w:p w14:paraId="2D527DC9">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1200</w:t>
            </w:r>
          </w:p>
        </w:tc>
        <w:tc>
          <w:tcPr>
            <w:tcW w:w="1732" w:type="dxa"/>
            <w:tcBorders>
              <w:top w:val="single" w:color="auto" w:sz="4" w:space="0"/>
              <w:left w:val="single" w:color="auto" w:sz="4" w:space="0"/>
              <w:bottom w:val="single" w:color="auto" w:sz="4" w:space="0"/>
              <w:right w:val="single" w:color="auto" w:sz="4" w:space="0"/>
            </w:tcBorders>
            <w:vAlign w:val="center"/>
          </w:tcPr>
          <w:p w14:paraId="6213757A">
            <w:pPr>
              <w:pStyle w:val="70"/>
              <w:keepNext w:val="0"/>
              <w:keepLines w:val="0"/>
              <w:pageBreakBefore w:val="0"/>
              <w:widowControl w:val="0"/>
              <w:kinsoku/>
              <w:wordWrap/>
              <w:overflowPunct/>
              <w:topLinePunct w:val="0"/>
              <w:autoSpaceDE/>
              <w:autoSpaceDN/>
              <w:bidi w:val="0"/>
              <w:adjustRightInd/>
              <w:snapToGrid/>
              <w:spacing w:line="460" w:lineRule="exact"/>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21200</w:t>
            </w:r>
          </w:p>
        </w:tc>
      </w:tr>
    </w:tbl>
    <w:p w14:paraId="09043D0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注：两种HIV试剂</w:t>
      </w:r>
      <w:r>
        <w:rPr>
          <w:rFonts w:hint="eastAsia" w:ascii="宋体" w:hAnsi="宋体" w:eastAsia="宋体"/>
          <w:b w:val="0"/>
          <w:bCs w:val="0"/>
          <w:sz w:val="24"/>
          <w:szCs w:val="18"/>
          <w:highlight w:val="none"/>
          <w:lang w:eastAsia="zh-CN"/>
        </w:rPr>
        <w:t>必须</w:t>
      </w:r>
      <w:r>
        <w:rPr>
          <w:rFonts w:hint="eastAsia" w:ascii="宋体" w:hAnsi="宋体" w:eastAsia="宋体"/>
          <w:b w:val="0"/>
          <w:bCs w:val="0"/>
          <w:sz w:val="24"/>
          <w:szCs w:val="18"/>
          <w:highlight w:val="none"/>
        </w:rPr>
        <w:t>为不同厂家品牌试剂。</w:t>
      </w:r>
    </w:p>
    <w:p w14:paraId="2CA1AD1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b/>
          <w:bCs/>
          <w:sz w:val="24"/>
          <w:szCs w:val="18"/>
          <w:highlight w:val="none"/>
        </w:rPr>
      </w:pPr>
      <w:r>
        <w:rPr>
          <w:rFonts w:hint="eastAsia" w:ascii="宋体" w:hAnsi="宋体" w:eastAsia="宋体"/>
          <w:b/>
          <w:bCs/>
          <w:sz w:val="24"/>
          <w:szCs w:val="18"/>
          <w:highlight w:val="none"/>
        </w:rPr>
        <w:t>一、HIV 第</w:t>
      </w:r>
      <w:r>
        <w:rPr>
          <w:rFonts w:hint="eastAsia" w:ascii="宋体" w:hAnsi="宋体" w:eastAsia="宋体"/>
          <w:b/>
          <w:bCs/>
          <w:sz w:val="24"/>
          <w:szCs w:val="18"/>
          <w:highlight w:val="none"/>
          <w:lang w:val="en-US" w:eastAsia="zh-CN"/>
        </w:rPr>
        <w:t>1</w:t>
      </w:r>
      <w:r>
        <w:rPr>
          <w:rFonts w:hint="eastAsia" w:ascii="宋体" w:hAnsi="宋体" w:eastAsia="宋体"/>
          <w:b/>
          <w:bCs/>
          <w:sz w:val="24"/>
          <w:szCs w:val="18"/>
          <w:highlight w:val="none"/>
        </w:rPr>
        <w:t>种快速试剂</w:t>
      </w:r>
    </w:p>
    <w:p w14:paraId="59D37F8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★1.方法学：胶体金法</w:t>
      </w:r>
    </w:p>
    <w:p w14:paraId="2B14AE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2.规格：单人份 ，20-100 人份/盒；</w:t>
      </w:r>
    </w:p>
    <w:p w14:paraId="711A641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3.用途:用于体外定性检测人全血、血清或血浆样本中人类免疫缺陷病毒(HIV)1/2 型抗体。</w:t>
      </w:r>
    </w:p>
    <w:p w14:paraId="181D24A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4.储存条件：2～30℃密封干燥处保存；</w:t>
      </w:r>
    </w:p>
    <w:p w14:paraId="75509A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lang w:val="en-US" w:eastAsia="zh-CN"/>
        </w:rPr>
        <w:t>5.</w:t>
      </w:r>
      <w:r>
        <w:rPr>
          <w:rFonts w:hint="eastAsia" w:ascii="宋体" w:hAnsi="宋体" w:eastAsia="宋体"/>
          <w:b w:val="0"/>
          <w:bCs w:val="0"/>
          <w:sz w:val="24"/>
          <w:szCs w:val="18"/>
          <w:highlight w:val="none"/>
        </w:rPr>
        <w:t xml:space="preserve">有效期：≥ </w:t>
      </w:r>
      <w:r>
        <w:rPr>
          <w:rFonts w:hint="eastAsia" w:ascii="宋体" w:hAnsi="宋体" w:eastAsia="宋体"/>
          <w:b w:val="0"/>
          <w:bCs w:val="0"/>
          <w:sz w:val="24"/>
          <w:szCs w:val="18"/>
          <w:highlight w:val="none"/>
          <w:lang w:val="en-US" w:eastAsia="zh-CN"/>
        </w:rPr>
        <w:t>24</w:t>
      </w:r>
      <w:r>
        <w:rPr>
          <w:rFonts w:hint="eastAsia" w:ascii="宋体" w:hAnsi="宋体" w:eastAsia="宋体"/>
          <w:b w:val="0"/>
          <w:bCs w:val="0"/>
          <w:sz w:val="24"/>
          <w:szCs w:val="18"/>
          <w:highlight w:val="none"/>
        </w:rPr>
        <w:t>个月；</w:t>
      </w:r>
    </w:p>
    <w:p w14:paraId="49A1CA4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lang w:val="en-US" w:eastAsia="zh-CN"/>
        </w:rPr>
        <w:t>6.30分钟内出结果，方便快速；</w:t>
      </w:r>
    </w:p>
    <w:p w14:paraId="33C9A66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lang w:val="en-US" w:eastAsia="zh-CN"/>
        </w:rPr>
        <w:t>7.</w:t>
      </w:r>
      <w:r>
        <w:rPr>
          <w:rFonts w:hint="eastAsia" w:ascii="宋体" w:hAnsi="宋体" w:eastAsia="宋体"/>
          <w:b w:val="0"/>
          <w:bCs w:val="0"/>
          <w:sz w:val="24"/>
          <w:szCs w:val="18"/>
          <w:highlight w:val="none"/>
        </w:rPr>
        <w:t>原理：采用胶体金免疫技术和层析原理，定性检测人全血、血清或血浆样本中的人类免疫缺陷病毒（HIV）1/2 型抗体。</w:t>
      </w:r>
    </w:p>
    <w:p w14:paraId="504034E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lang w:val="en-US" w:eastAsia="zh-CN"/>
        </w:rPr>
        <w:t>8</w:t>
      </w:r>
      <w:r>
        <w:rPr>
          <w:rFonts w:hint="eastAsia" w:ascii="宋体" w:hAnsi="宋体" w:eastAsia="宋体"/>
          <w:b w:val="0"/>
          <w:bCs w:val="0"/>
          <w:sz w:val="24"/>
          <w:szCs w:val="18"/>
          <w:highlight w:val="none"/>
        </w:rPr>
        <w:t>.评估结果：</w:t>
      </w:r>
      <w:r>
        <w:rPr>
          <w:rFonts w:hint="eastAsia" w:ascii="宋体" w:hAnsi="宋体" w:eastAsia="宋体"/>
          <w:b w:val="0"/>
          <w:bCs w:val="0"/>
          <w:sz w:val="24"/>
          <w:szCs w:val="18"/>
          <w:highlight w:val="none"/>
          <w:lang w:eastAsia="zh-CN"/>
        </w:rPr>
        <w:t>连续</w:t>
      </w:r>
      <w:r>
        <w:rPr>
          <w:rFonts w:hint="eastAsia" w:ascii="宋体" w:hAnsi="宋体" w:eastAsia="宋体"/>
          <w:b w:val="0"/>
          <w:bCs w:val="0"/>
          <w:sz w:val="24"/>
          <w:szCs w:val="18"/>
          <w:highlight w:val="none"/>
          <w:lang w:val="en-US" w:eastAsia="zh-CN"/>
        </w:rPr>
        <w:t>3年</w:t>
      </w:r>
      <w:r>
        <w:rPr>
          <w:rFonts w:hint="eastAsia" w:ascii="宋体" w:hAnsi="宋体" w:eastAsia="宋体"/>
          <w:b w:val="0"/>
          <w:bCs w:val="0"/>
          <w:sz w:val="24"/>
          <w:szCs w:val="18"/>
          <w:highlight w:val="none"/>
        </w:rPr>
        <w:t>参加全国HIV 抗体快速诊断试剂临床质量评估，敏感性均 100%，功效率≥ 99%</w:t>
      </w:r>
      <w:r>
        <w:rPr>
          <w:rFonts w:hint="eastAsia" w:ascii="宋体" w:hAnsi="宋体" w:eastAsia="宋体"/>
          <w:b w:val="0"/>
          <w:bCs w:val="0"/>
          <w:sz w:val="24"/>
          <w:szCs w:val="18"/>
          <w:highlight w:val="none"/>
          <w:lang w:eastAsia="zh-CN"/>
        </w:rPr>
        <w:t>。</w:t>
      </w:r>
      <w:r>
        <w:rPr>
          <w:rFonts w:hint="eastAsia" w:ascii="宋体" w:hAnsi="宋体" w:eastAsia="宋体"/>
          <w:b w:val="0"/>
          <w:bCs w:val="0"/>
          <w:sz w:val="24"/>
          <w:szCs w:val="18"/>
          <w:highlight w:val="none"/>
        </w:rPr>
        <w:t>产品质量稳定可靠，未出现不良记录；(提供证明材料)</w:t>
      </w:r>
    </w:p>
    <w:p w14:paraId="59C88E6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lang w:val="en-US" w:eastAsia="zh-CN"/>
        </w:rPr>
        <w:t>9</w:t>
      </w:r>
      <w:r>
        <w:rPr>
          <w:rFonts w:hint="eastAsia" w:ascii="宋体" w:hAnsi="宋体" w:eastAsia="宋体"/>
          <w:b w:val="0"/>
          <w:bCs w:val="0"/>
          <w:sz w:val="24"/>
          <w:szCs w:val="18"/>
          <w:highlight w:val="none"/>
        </w:rPr>
        <w:t>.需提供该产品在国家食品药品监督管理局注册证。</w:t>
      </w:r>
    </w:p>
    <w:p w14:paraId="6A91FAD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b/>
          <w:bCs/>
          <w:sz w:val="24"/>
          <w:szCs w:val="18"/>
          <w:highlight w:val="none"/>
        </w:rPr>
      </w:pPr>
      <w:r>
        <w:rPr>
          <w:rFonts w:hint="eastAsia" w:ascii="宋体" w:hAnsi="宋体" w:eastAsia="宋体"/>
          <w:b/>
          <w:bCs/>
          <w:sz w:val="24"/>
          <w:szCs w:val="18"/>
          <w:highlight w:val="none"/>
        </w:rPr>
        <w:t>二、HIV 第</w:t>
      </w:r>
      <w:r>
        <w:rPr>
          <w:rFonts w:hint="eastAsia" w:ascii="宋体" w:hAnsi="宋体" w:eastAsia="宋体"/>
          <w:b/>
          <w:bCs/>
          <w:sz w:val="24"/>
          <w:szCs w:val="18"/>
          <w:highlight w:val="none"/>
          <w:lang w:val="en-US" w:eastAsia="zh-CN"/>
        </w:rPr>
        <w:t>2</w:t>
      </w:r>
      <w:r>
        <w:rPr>
          <w:rFonts w:hint="eastAsia" w:ascii="宋体" w:hAnsi="宋体" w:eastAsia="宋体"/>
          <w:b/>
          <w:bCs/>
          <w:sz w:val="24"/>
          <w:szCs w:val="18"/>
          <w:highlight w:val="none"/>
        </w:rPr>
        <w:t>种快速试剂</w:t>
      </w:r>
    </w:p>
    <w:p w14:paraId="7E59051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default"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rPr>
        <w:t>1.方法学:</w:t>
      </w:r>
      <w:r>
        <w:rPr>
          <w:rFonts w:hint="eastAsia" w:ascii="宋体" w:hAnsi="宋体" w:eastAsia="宋体"/>
          <w:b w:val="0"/>
          <w:bCs w:val="0"/>
          <w:sz w:val="24"/>
          <w:szCs w:val="18"/>
          <w:highlight w:val="none"/>
          <w:lang w:val="en-US" w:eastAsia="zh-CN"/>
        </w:rPr>
        <w:t>乳胶法或胶体金法</w:t>
      </w:r>
    </w:p>
    <w:p w14:paraId="56D2071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2.规格：单人份 ，20-100 人份/盒；</w:t>
      </w:r>
    </w:p>
    <w:p w14:paraId="0963242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lang w:val="en-US" w:eastAsia="zh-CN"/>
        </w:rPr>
        <w:t>3</w:t>
      </w:r>
      <w:r>
        <w:rPr>
          <w:rFonts w:hint="eastAsia" w:ascii="宋体" w:hAnsi="宋体" w:eastAsia="宋体"/>
          <w:b w:val="0"/>
          <w:bCs w:val="0"/>
          <w:sz w:val="24"/>
          <w:szCs w:val="18"/>
          <w:highlight w:val="none"/>
        </w:rPr>
        <w:t>.可检测血清、血浆、全血样本</w:t>
      </w:r>
      <w:r>
        <w:rPr>
          <w:rFonts w:hint="eastAsia" w:ascii="宋体" w:hAnsi="宋体" w:eastAsia="宋体"/>
          <w:b w:val="0"/>
          <w:bCs w:val="0"/>
          <w:sz w:val="24"/>
          <w:szCs w:val="18"/>
          <w:highlight w:val="none"/>
          <w:lang w:eastAsia="zh-CN"/>
        </w:rPr>
        <w:t>；</w:t>
      </w:r>
      <w:r>
        <w:rPr>
          <w:rFonts w:hint="eastAsia" w:ascii="宋体" w:hAnsi="宋体" w:eastAsia="宋体"/>
          <w:b w:val="0"/>
          <w:bCs w:val="0"/>
          <w:sz w:val="24"/>
          <w:szCs w:val="18"/>
          <w:highlight w:val="none"/>
        </w:rPr>
        <w:t xml:space="preserve"> </w:t>
      </w:r>
    </w:p>
    <w:p w14:paraId="376832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lang w:val="en-US" w:eastAsia="zh-CN"/>
        </w:rPr>
        <w:t>4</w:t>
      </w:r>
      <w:r>
        <w:rPr>
          <w:rFonts w:hint="eastAsia" w:ascii="宋体" w:hAnsi="宋体" w:eastAsia="宋体"/>
          <w:b w:val="0"/>
          <w:bCs w:val="0"/>
          <w:sz w:val="24"/>
          <w:szCs w:val="18"/>
          <w:highlight w:val="none"/>
        </w:rPr>
        <w:t>.检测结果可在 10 分钟</w:t>
      </w:r>
      <w:r>
        <w:rPr>
          <w:rFonts w:hint="eastAsia" w:ascii="宋体" w:hAnsi="宋体" w:eastAsia="宋体"/>
          <w:b w:val="0"/>
          <w:bCs w:val="0"/>
          <w:sz w:val="24"/>
          <w:szCs w:val="18"/>
          <w:highlight w:val="none"/>
          <w:lang w:eastAsia="zh-CN"/>
        </w:rPr>
        <w:t>内</w:t>
      </w:r>
      <w:r>
        <w:rPr>
          <w:rFonts w:hint="eastAsia" w:ascii="宋体" w:hAnsi="宋体" w:eastAsia="宋体"/>
          <w:b w:val="0"/>
          <w:bCs w:val="0"/>
          <w:sz w:val="24"/>
          <w:szCs w:val="18"/>
          <w:highlight w:val="none"/>
        </w:rPr>
        <w:t>读取；</w:t>
      </w:r>
    </w:p>
    <w:p w14:paraId="226AA77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cs="@仿宋_GB2312"/>
          <w:b w:val="0"/>
          <w:bCs w:val="0"/>
          <w:kern w:val="2"/>
          <w:sz w:val="24"/>
          <w:szCs w:val="18"/>
          <w:lang w:val="en-US" w:eastAsia="zh-CN" w:bidi="ar-SA"/>
        </w:rPr>
        <w:t>5.</w:t>
      </w:r>
      <w:r>
        <w:rPr>
          <w:rFonts w:hint="eastAsia" w:ascii="宋体" w:hAnsi="宋体" w:eastAsia="宋体"/>
          <w:b w:val="0"/>
          <w:bCs w:val="0"/>
          <w:sz w:val="24"/>
          <w:szCs w:val="18"/>
          <w:highlight w:val="none"/>
        </w:rPr>
        <w:t>检测病毒型:HIV(1+2)型；</w:t>
      </w:r>
    </w:p>
    <w:p w14:paraId="5B402E3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lang w:val="en-US" w:eastAsia="zh-CN"/>
        </w:rPr>
        <w:t>6</w:t>
      </w:r>
      <w:r>
        <w:rPr>
          <w:rFonts w:hint="eastAsia" w:ascii="宋体" w:hAnsi="宋体" w:eastAsia="宋体"/>
          <w:b w:val="0"/>
          <w:bCs w:val="0"/>
          <w:sz w:val="24"/>
          <w:szCs w:val="18"/>
          <w:highlight w:val="none"/>
        </w:rPr>
        <w:t>.有效期:≥24 个月</w:t>
      </w:r>
      <w:r>
        <w:rPr>
          <w:rFonts w:hint="eastAsia" w:ascii="宋体" w:hAnsi="宋体" w:eastAsia="宋体"/>
          <w:b w:val="0"/>
          <w:bCs w:val="0"/>
          <w:sz w:val="24"/>
          <w:szCs w:val="18"/>
          <w:highlight w:val="none"/>
          <w:lang w:eastAsia="zh-CN"/>
        </w:rPr>
        <w:t>。</w:t>
      </w:r>
    </w:p>
    <w:p w14:paraId="46AB7D1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lang w:val="en-US" w:eastAsia="zh-CN"/>
        </w:rPr>
        <w:t>7</w:t>
      </w:r>
      <w:r>
        <w:rPr>
          <w:rFonts w:hint="eastAsia" w:ascii="宋体" w:hAnsi="宋体" w:eastAsia="宋体"/>
          <w:b w:val="0"/>
          <w:bCs w:val="0"/>
          <w:sz w:val="24"/>
          <w:szCs w:val="18"/>
          <w:highlight w:val="none"/>
        </w:rPr>
        <w:t>.操作应简单，结果易读，储存于</w:t>
      </w:r>
      <w:r>
        <w:rPr>
          <w:rFonts w:hint="eastAsia" w:ascii="宋体" w:hAnsi="宋体" w:eastAsia="宋体"/>
          <w:b w:val="0"/>
          <w:bCs w:val="0"/>
          <w:sz w:val="24"/>
          <w:szCs w:val="18"/>
          <w:highlight w:val="none"/>
          <w:lang w:val="en-US" w:eastAsia="zh-CN"/>
        </w:rPr>
        <w:t>2</w:t>
      </w:r>
      <w:r>
        <w:rPr>
          <w:rFonts w:hint="eastAsia" w:ascii="宋体" w:hAnsi="宋体" w:eastAsia="宋体"/>
          <w:b w:val="0"/>
          <w:bCs w:val="0"/>
          <w:sz w:val="24"/>
          <w:szCs w:val="18"/>
          <w:highlight w:val="none"/>
        </w:rPr>
        <w:t>~30℃,阴凉避光干燥处，易于在室温保存；</w:t>
      </w:r>
    </w:p>
    <w:p w14:paraId="3396094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lang w:val="en-US" w:eastAsia="zh-CN"/>
        </w:rPr>
        <w:t>8</w:t>
      </w:r>
      <w:r>
        <w:rPr>
          <w:rFonts w:hint="eastAsia" w:ascii="宋体" w:hAnsi="宋体" w:eastAsia="宋体"/>
          <w:b w:val="0"/>
          <w:bCs w:val="0"/>
          <w:sz w:val="24"/>
          <w:szCs w:val="18"/>
          <w:highlight w:val="none"/>
        </w:rPr>
        <w:t>.产品通过国家食品药品监督管理局注册批准,检验合格；</w:t>
      </w:r>
    </w:p>
    <w:p w14:paraId="6817ABF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b/>
          <w:bCs/>
          <w:sz w:val="24"/>
          <w:szCs w:val="18"/>
          <w:highlight w:val="none"/>
          <w:lang w:val="en-US" w:eastAsia="zh-CN"/>
        </w:rPr>
      </w:pPr>
      <w:r>
        <w:rPr>
          <w:rFonts w:hint="eastAsia" w:ascii="宋体" w:hAnsi="宋体" w:eastAsia="宋体"/>
          <w:b/>
          <w:bCs/>
          <w:sz w:val="24"/>
          <w:szCs w:val="18"/>
          <w:highlight w:val="none"/>
        </w:rPr>
        <w:t>三、梅毒螺旋体抗原血清学试剂类</w:t>
      </w:r>
      <w:r>
        <w:rPr>
          <w:rFonts w:hint="eastAsia" w:ascii="宋体" w:hAnsi="宋体" w:eastAsia="宋体"/>
          <w:b/>
          <w:bCs/>
          <w:sz w:val="24"/>
          <w:szCs w:val="18"/>
          <w:highlight w:val="none"/>
          <w:lang w:val="en-US" w:eastAsia="zh-CN"/>
        </w:rPr>
        <w:t>(</w:t>
      </w:r>
      <w:r>
        <w:rPr>
          <w:rFonts w:hint="eastAsia" w:ascii="宋体" w:hAnsi="宋体" w:eastAsia="宋体"/>
          <w:b/>
          <w:bCs/>
          <w:sz w:val="24"/>
          <w:szCs w:val="18"/>
          <w:highlight w:val="none"/>
        </w:rPr>
        <w:t>快速试剂</w:t>
      </w:r>
      <w:r>
        <w:rPr>
          <w:rFonts w:hint="eastAsia" w:ascii="宋体" w:hAnsi="宋体" w:eastAsia="宋体"/>
          <w:b/>
          <w:bCs/>
          <w:sz w:val="24"/>
          <w:szCs w:val="18"/>
          <w:highlight w:val="none"/>
          <w:lang w:val="en-US" w:eastAsia="zh-CN"/>
        </w:rPr>
        <w:t>)</w:t>
      </w:r>
    </w:p>
    <w:p w14:paraId="1E4665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lang w:eastAsia="zh-CN"/>
        </w:rPr>
      </w:pPr>
      <w:r>
        <w:rPr>
          <w:rFonts w:hint="eastAsia" w:ascii="宋体" w:hAnsi="宋体" w:eastAsia="宋体"/>
          <w:b w:val="0"/>
          <w:bCs w:val="0"/>
          <w:sz w:val="24"/>
          <w:szCs w:val="18"/>
          <w:highlight w:val="none"/>
        </w:rPr>
        <w:t>▲1.方法学：胶体金法</w:t>
      </w:r>
      <w:r>
        <w:rPr>
          <w:rFonts w:hint="eastAsia" w:ascii="宋体" w:hAnsi="宋体" w:eastAsia="宋体"/>
          <w:b w:val="0"/>
          <w:bCs w:val="0"/>
          <w:sz w:val="24"/>
          <w:szCs w:val="18"/>
          <w:highlight w:val="none"/>
          <w:lang w:eastAsia="zh-CN"/>
        </w:rPr>
        <w:t>。</w:t>
      </w:r>
    </w:p>
    <w:p w14:paraId="5BD7CEB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2.规格：单人份，20</w:t>
      </w:r>
      <w:r>
        <w:rPr>
          <w:rFonts w:hint="eastAsia" w:ascii="宋体" w:hAnsi="宋体" w:eastAsia="宋体"/>
          <w:b w:val="0"/>
          <w:bCs w:val="0"/>
          <w:sz w:val="24"/>
          <w:szCs w:val="18"/>
          <w:highlight w:val="none"/>
          <w:lang w:val="en-US" w:eastAsia="zh-CN"/>
        </w:rPr>
        <w:t>-</w:t>
      </w:r>
      <w:r>
        <w:rPr>
          <w:rFonts w:hint="eastAsia" w:ascii="宋体" w:hAnsi="宋体" w:eastAsia="宋体"/>
          <w:b w:val="0"/>
          <w:bCs w:val="0"/>
          <w:sz w:val="24"/>
          <w:szCs w:val="18"/>
          <w:highlight w:val="none"/>
        </w:rPr>
        <w:t>100 人份/盒；</w:t>
      </w:r>
    </w:p>
    <w:p w14:paraId="5B5B17C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3.用途:用于体外定性检测人血清、血浆样本中的梅毒螺旋体抗体。</w:t>
      </w:r>
    </w:p>
    <w:p w14:paraId="2FC2B17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4.原理：采用胶体金免疫检测技术和层析原理，定性检测血清(浆)样本中的梅毒螺旋体抗体。</w:t>
      </w:r>
    </w:p>
    <w:p w14:paraId="34301E5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5.储存条件：2～30℃干燥保存；</w:t>
      </w:r>
    </w:p>
    <w:p w14:paraId="28C837B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 xml:space="preserve">6.有效期：≥ </w:t>
      </w:r>
      <w:r>
        <w:rPr>
          <w:rFonts w:hint="eastAsia" w:ascii="宋体" w:hAnsi="宋体" w:eastAsia="宋体"/>
          <w:b w:val="0"/>
          <w:bCs w:val="0"/>
          <w:sz w:val="24"/>
          <w:szCs w:val="18"/>
          <w:highlight w:val="none"/>
          <w:lang w:val="en-US" w:eastAsia="zh-CN"/>
        </w:rPr>
        <w:t>24</w:t>
      </w:r>
      <w:r>
        <w:rPr>
          <w:rFonts w:hint="eastAsia" w:ascii="宋体" w:hAnsi="宋体" w:eastAsia="宋体"/>
          <w:b w:val="0"/>
          <w:bCs w:val="0"/>
          <w:sz w:val="24"/>
          <w:szCs w:val="18"/>
          <w:highlight w:val="none"/>
        </w:rPr>
        <w:t>个月；</w:t>
      </w:r>
    </w:p>
    <w:p w14:paraId="10963AE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lang w:val="en-US" w:eastAsia="zh-CN"/>
        </w:rPr>
        <w:t>7.30分钟内出结果，方便快速；</w:t>
      </w:r>
    </w:p>
    <w:p w14:paraId="24B681B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lang w:val="en-US" w:eastAsia="zh-CN"/>
        </w:rPr>
        <w:t>8</w:t>
      </w:r>
      <w:r>
        <w:rPr>
          <w:rFonts w:hint="eastAsia" w:ascii="宋体" w:hAnsi="宋体" w:eastAsia="宋体"/>
          <w:b w:val="0"/>
          <w:bCs w:val="0"/>
          <w:sz w:val="24"/>
          <w:szCs w:val="18"/>
          <w:highlight w:val="none"/>
        </w:rPr>
        <w:t>.评估结果：</w:t>
      </w:r>
      <w:r>
        <w:rPr>
          <w:rFonts w:hint="eastAsia" w:ascii="宋体" w:hAnsi="宋体" w:eastAsia="宋体"/>
          <w:b w:val="0"/>
          <w:bCs w:val="0"/>
          <w:sz w:val="24"/>
          <w:szCs w:val="18"/>
          <w:highlight w:val="none"/>
          <w:lang w:eastAsia="zh-CN"/>
        </w:rPr>
        <w:t>连续</w:t>
      </w:r>
      <w:r>
        <w:rPr>
          <w:rFonts w:hint="eastAsia" w:ascii="宋体" w:hAnsi="宋体" w:eastAsia="宋体"/>
          <w:b w:val="0"/>
          <w:bCs w:val="0"/>
          <w:sz w:val="24"/>
          <w:szCs w:val="18"/>
          <w:highlight w:val="none"/>
          <w:lang w:val="en-US" w:eastAsia="zh-CN"/>
        </w:rPr>
        <w:t>3年</w:t>
      </w:r>
      <w:r>
        <w:rPr>
          <w:rFonts w:hint="eastAsia" w:ascii="宋体" w:hAnsi="宋体" w:eastAsia="宋体"/>
          <w:b w:val="0"/>
          <w:bCs w:val="0"/>
          <w:sz w:val="24"/>
          <w:szCs w:val="18"/>
          <w:highlight w:val="none"/>
        </w:rPr>
        <w:t>参加全国</w:t>
      </w:r>
      <w:r>
        <w:rPr>
          <w:rFonts w:hint="eastAsia" w:ascii="宋体" w:hAnsi="宋体" w:eastAsia="宋体"/>
          <w:b w:val="0"/>
          <w:bCs w:val="0"/>
          <w:sz w:val="24"/>
          <w:szCs w:val="18"/>
          <w:highlight w:val="none"/>
          <w:lang w:eastAsia="zh-CN"/>
        </w:rPr>
        <w:t>梅毒特异性</w:t>
      </w:r>
      <w:r>
        <w:rPr>
          <w:rFonts w:hint="eastAsia" w:ascii="宋体" w:hAnsi="宋体" w:eastAsia="宋体"/>
          <w:b w:val="0"/>
          <w:bCs w:val="0"/>
          <w:sz w:val="24"/>
          <w:szCs w:val="18"/>
          <w:highlight w:val="none"/>
        </w:rPr>
        <w:t>抗体快速诊断试剂临床质量评估，敏感性均 100%， 功效率≥ 99%</w:t>
      </w:r>
      <w:r>
        <w:rPr>
          <w:rFonts w:hint="eastAsia" w:ascii="宋体" w:hAnsi="宋体" w:eastAsia="宋体"/>
          <w:b w:val="0"/>
          <w:bCs w:val="0"/>
          <w:sz w:val="24"/>
          <w:szCs w:val="18"/>
          <w:highlight w:val="none"/>
          <w:lang w:eastAsia="zh-CN"/>
        </w:rPr>
        <w:t>。</w:t>
      </w:r>
      <w:r>
        <w:rPr>
          <w:rFonts w:hint="eastAsia" w:ascii="宋体" w:hAnsi="宋体" w:eastAsia="宋体"/>
          <w:b w:val="0"/>
          <w:bCs w:val="0"/>
          <w:sz w:val="24"/>
          <w:szCs w:val="18"/>
          <w:highlight w:val="none"/>
        </w:rPr>
        <w:t>产品质量稳定可靠，未出现不良记录；(提供证明材料)</w:t>
      </w:r>
    </w:p>
    <w:p w14:paraId="2B63196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1"/>
        <w:rPr>
          <w:rFonts w:hint="default"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lang w:val="en-US" w:eastAsia="zh-CN"/>
        </w:rPr>
        <w:t>9.</w:t>
      </w:r>
      <w:r>
        <w:rPr>
          <w:rFonts w:hint="eastAsia" w:ascii="宋体" w:hAnsi="宋体" w:eastAsia="宋体"/>
          <w:b w:val="0"/>
          <w:bCs w:val="0"/>
          <w:sz w:val="24"/>
          <w:szCs w:val="18"/>
          <w:highlight w:val="none"/>
        </w:rPr>
        <w:t>需提供该产品在国家食品药品监督管理局注册证。</w:t>
      </w:r>
    </w:p>
    <w:p w14:paraId="0AB3B53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default" w:ascii="宋体" w:hAnsi="宋体" w:eastAsia="宋体"/>
          <w:b w:val="0"/>
          <w:bCs w:val="0"/>
          <w:sz w:val="24"/>
          <w:szCs w:val="18"/>
          <w:highlight w:val="none"/>
          <w:lang w:val="en-US" w:eastAsia="zh-CN"/>
        </w:rPr>
      </w:pPr>
      <w:r>
        <w:rPr>
          <w:rFonts w:hint="eastAsia" w:ascii="宋体" w:hAnsi="宋体" w:eastAsia="宋体"/>
          <w:b/>
          <w:bCs/>
          <w:sz w:val="24"/>
          <w:szCs w:val="18"/>
          <w:highlight w:val="none"/>
          <w:lang w:eastAsia="zh-CN"/>
        </w:rPr>
        <w:t>四</w:t>
      </w:r>
      <w:r>
        <w:rPr>
          <w:rFonts w:hint="eastAsia" w:ascii="宋体" w:hAnsi="宋体" w:eastAsia="宋体"/>
          <w:b/>
          <w:bCs/>
          <w:sz w:val="24"/>
          <w:szCs w:val="18"/>
          <w:highlight w:val="none"/>
        </w:rPr>
        <w:t>、梅毒螺旋体抗原血清学试剂类</w:t>
      </w:r>
      <w:r>
        <w:rPr>
          <w:rFonts w:hint="eastAsia" w:ascii="宋体" w:hAnsi="宋体" w:eastAsia="宋体"/>
          <w:b/>
          <w:bCs/>
          <w:sz w:val="24"/>
          <w:szCs w:val="18"/>
          <w:highlight w:val="none"/>
          <w:lang w:val="en-US" w:eastAsia="zh-CN"/>
        </w:rPr>
        <w:t>(TPPA)</w:t>
      </w:r>
    </w:p>
    <w:p w14:paraId="03F860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rPr>
        <mc:AlternateContent>
          <mc:Choice Requires="wps">
            <w:drawing>
              <wp:anchor distT="0" distB="0" distL="114300" distR="114300" simplePos="0" relativeHeight="251659264" behindDoc="1" locked="0" layoutInCell="1" allowOverlap="1">
                <wp:simplePos x="0" y="0"/>
                <wp:positionH relativeFrom="rightMargin">
                  <wp:posOffset>-59055</wp:posOffset>
                </wp:positionH>
                <wp:positionV relativeFrom="topMargin">
                  <wp:posOffset>1270</wp:posOffset>
                </wp:positionV>
                <wp:extent cx="62865" cy="2173605"/>
                <wp:effectExtent l="0" t="0" r="13335" b="17145"/>
                <wp:wrapNone/>
                <wp:docPr id="1" name="任意多边形 1"/>
                <wp:cNvGraphicFramePr/>
                <a:graphic xmlns:a="http://schemas.openxmlformats.org/drawingml/2006/main">
                  <a:graphicData uri="http://schemas.microsoft.com/office/word/2010/wordprocessingShape">
                    <wps:wsp>
                      <wps:cNvSpPr/>
                      <wps:spPr>
                        <a:xfrm>
                          <a:off x="0" y="0"/>
                          <a:ext cx="62865" cy="2173605"/>
                        </a:xfrm>
                        <a:custGeom>
                          <a:avLst/>
                          <a:gdLst/>
                          <a:ahLst/>
                          <a:cxnLst/>
                          <a:pathLst>
                            <a:path w="98" h="3422">
                              <a:moveTo>
                                <a:pt x="0" y="3422"/>
                              </a:moveTo>
                              <a:lnTo>
                                <a:pt x="98" y="3422"/>
                              </a:lnTo>
                              <a:lnTo>
                                <a:pt x="98" y="0"/>
                              </a:lnTo>
                              <a:lnTo>
                                <a:pt x="0" y="0"/>
                              </a:lnTo>
                              <a:lnTo>
                                <a:pt x="0" y="3422"/>
                              </a:lnTo>
                              <a:close/>
                            </a:path>
                          </a:pathLst>
                        </a:custGeom>
                        <a:solidFill>
                          <a:srgbClr val="FFFFFF"/>
                        </a:solidFill>
                        <a:ln>
                          <a:noFill/>
                        </a:ln>
                      </wps:spPr>
                      <wps:bodyPr upright="1"/>
                    </wps:wsp>
                  </a:graphicData>
                </a:graphic>
              </wp:anchor>
            </w:drawing>
          </mc:Choice>
          <mc:Fallback>
            <w:pict>
              <v:shape id="_x0000_s1026" o:spid="_x0000_s1026" o:spt="100" style="position:absolute;left:0pt;margin-left:519.8pt;margin-top:0.1pt;height:171.15pt;width:4.95pt;mso-position-horizontal-relative:page;mso-position-vertical-relative:page;z-index:-251657216;mso-width-relative:page;mso-height-relative:page;" fillcolor="#FFFFFF" filled="t" stroked="f" coordsize="98,3422" o:gfxdata="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LqB+1AAAAAQBAAAPAAAAAAAA&#10;AAEAIAAAACIAAABkcnMvZG93bnJldi54bWxQSwECFAAUAAAACACHTuJAkTJkIRYCAAB/BAAADgAA&#10;AAAAAAABACAAAAAjAQAAZHJzL2Uyb0RvYy54bWxQSwUGAAAAAAYABgBZAQAAqwUAAAAA&#10;" path="m0,3422l98,3422,98,0,0,0,0,3422xe">
                <v:fill on="t" focussize="0,0"/>
                <v:stroke on="f"/>
                <v:imagedata o:title=""/>
                <o:lock v:ext="edit" aspectratio="f"/>
              </v:shape>
            </w:pict>
          </mc:Fallback>
        </mc:AlternateContent>
      </w:r>
      <w:r>
        <w:rPr>
          <w:rFonts w:hint="eastAsia" w:ascii="宋体" w:hAnsi="宋体" w:eastAsia="宋体"/>
          <w:b w:val="0"/>
          <w:bCs w:val="0"/>
          <w:sz w:val="24"/>
          <w:szCs w:val="18"/>
          <w:highlight w:val="none"/>
        </w:rPr>
        <w:t>1、方法原理：明胶颗粒凝集法；</w:t>
      </w:r>
    </w:p>
    <w:p w14:paraId="0BC58E9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2.规格：单人份，20</w:t>
      </w:r>
      <w:r>
        <w:rPr>
          <w:rFonts w:hint="eastAsia" w:ascii="宋体" w:hAnsi="宋体" w:eastAsia="宋体"/>
          <w:b w:val="0"/>
          <w:bCs w:val="0"/>
          <w:sz w:val="24"/>
          <w:szCs w:val="18"/>
          <w:highlight w:val="none"/>
          <w:lang w:val="en-US" w:eastAsia="zh-CN"/>
        </w:rPr>
        <w:t>-22</w:t>
      </w:r>
      <w:r>
        <w:rPr>
          <w:rFonts w:hint="eastAsia" w:ascii="宋体" w:hAnsi="宋体" w:eastAsia="宋体"/>
          <w:b w:val="0"/>
          <w:bCs w:val="0"/>
          <w:sz w:val="24"/>
          <w:szCs w:val="18"/>
          <w:highlight w:val="none"/>
        </w:rPr>
        <w:t>0 人份/盒；</w:t>
      </w:r>
    </w:p>
    <w:p w14:paraId="44DD02D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3.用途:用于体外定性检测人血清、血浆样本中的梅毒螺旋体抗体；</w:t>
      </w:r>
    </w:p>
    <w:p w14:paraId="56CD54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rPr>
        <w:t>4.储存条件：2～30℃密封干燥保存；</w:t>
      </w:r>
    </w:p>
    <w:p w14:paraId="271B9B5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lang w:val="en-US" w:eastAsia="zh-CN"/>
        </w:rPr>
        <w:t>5</w:t>
      </w:r>
      <w:r>
        <w:rPr>
          <w:rFonts w:hint="eastAsia" w:ascii="宋体" w:hAnsi="宋体" w:eastAsia="宋体"/>
          <w:b w:val="0"/>
          <w:bCs w:val="0"/>
          <w:sz w:val="24"/>
          <w:szCs w:val="18"/>
          <w:highlight w:val="none"/>
        </w:rPr>
        <w:t xml:space="preserve">.有效期：≥ </w:t>
      </w:r>
      <w:r>
        <w:rPr>
          <w:rFonts w:hint="eastAsia" w:ascii="宋体" w:hAnsi="宋体" w:eastAsia="宋体"/>
          <w:b w:val="0"/>
          <w:bCs w:val="0"/>
          <w:sz w:val="24"/>
          <w:szCs w:val="18"/>
          <w:highlight w:val="none"/>
          <w:lang w:val="en-US" w:eastAsia="zh-CN"/>
        </w:rPr>
        <w:t>12</w:t>
      </w:r>
      <w:r>
        <w:rPr>
          <w:rFonts w:hint="eastAsia" w:ascii="宋体" w:hAnsi="宋体" w:eastAsia="宋体"/>
          <w:b w:val="0"/>
          <w:bCs w:val="0"/>
          <w:sz w:val="24"/>
          <w:szCs w:val="18"/>
          <w:highlight w:val="none"/>
        </w:rPr>
        <w:t>个月；</w:t>
      </w:r>
    </w:p>
    <w:p w14:paraId="0318D5D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lang w:val="en-US" w:eastAsia="zh-CN"/>
        </w:rPr>
        <w:t>6.</w:t>
      </w:r>
      <w:r>
        <w:rPr>
          <w:rFonts w:hint="eastAsia" w:ascii="宋体" w:hAnsi="宋体" w:eastAsia="宋体"/>
          <w:b w:val="0"/>
          <w:bCs w:val="0"/>
          <w:sz w:val="24"/>
          <w:szCs w:val="18"/>
          <w:highlight w:val="none"/>
        </w:rPr>
        <w:t>评估结果：</w:t>
      </w:r>
      <w:r>
        <w:rPr>
          <w:rFonts w:hint="eastAsia" w:ascii="宋体" w:hAnsi="宋体" w:eastAsia="宋体"/>
          <w:b w:val="0"/>
          <w:bCs w:val="0"/>
          <w:sz w:val="24"/>
          <w:szCs w:val="18"/>
          <w:highlight w:val="none"/>
          <w:lang w:eastAsia="zh-CN"/>
        </w:rPr>
        <w:t>连续</w:t>
      </w:r>
      <w:r>
        <w:rPr>
          <w:rFonts w:hint="eastAsia" w:ascii="宋体" w:hAnsi="宋体" w:eastAsia="宋体"/>
          <w:b w:val="0"/>
          <w:bCs w:val="0"/>
          <w:sz w:val="24"/>
          <w:szCs w:val="18"/>
          <w:highlight w:val="none"/>
          <w:lang w:val="en-US" w:eastAsia="zh-CN"/>
        </w:rPr>
        <w:t>3年</w:t>
      </w:r>
      <w:r>
        <w:rPr>
          <w:rFonts w:hint="eastAsia" w:ascii="宋体" w:hAnsi="宋体" w:eastAsia="宋体"/>
          <w:b w:val="0"/>
          <w:bCs w:val="0"/>
          <w:sz w:val="24"/>
          <w:szCs w:val="18"/>
          <w:highlight w:val="none"/>
        </w:rPr>
        <w:t>参加全国</w:t>
      </w:r>
      <w:r>
        <w:rPr>
          <w:rFonts w:hint="eastAsia" w:ascii="宋体" w:hAnsi="宋体" w:eastAsia="宋体"/>
          <w:b w:val="0"/>
          <w:bCs w:val="0"/>
          <w:sz w:val="24"/>
          <w:szCs w:val="18"/>
          <w:highlight w:val="none"/>
          <w:lang w:eastAsia="zh-CN"/>
        </w:rPr>
        <w:t>梅毒特异性</w:t>
      </w:r>
      <w:r>
        <w:rPr>
          <w:rFonts w:hint="eastAsia" w:ascii="宋体" w:hAnsi="宋体" w:eastAsia="宋体"/>
          <w:b w:val="0"/>
          <w:bCs w:val="0"/>
          <w:sz w:val="24"/>
          <w:szCs w:val="18"/>
          <w:highlight w:val="none"/>
        </w:rPr>
        <w:t>抗体快速诊断试剂临床质量评估，敏感性均 100%，特异性≥100%， 功效率≥ 99%</w:t>
      </w:r>
      <w:r>
        <w:rPr>
          <w:rFonts w:hint="eastAsia" w:ascii="宋体" w:hAnsi="宋体" w:eastAsia="宋体"/>
          <w:b w:val="0"/>
          <w:bCs w:val="0"/>
          <w:sz w:val="24"/>
          <w:szCs w:val="18"/>
          <w:highlight w:val="none"/>
          <w:lang w:eastAsia="zh-CN"/>
        </w:rPr>
        <w:t>。</w:t>
      </w:r>
      <w:r>
        <w:rPr>
          <w:rFonts w:hint="eastAsia" w:ascii="宋体" w:hAnsi="宋体" w:eastAsia="宋体"/>
          <w:b w:val="0"/>
          <w:bCs w:val="0"/>
          <w:sz w:val="24"/>
          <w:szCs w:val="18"/>
          <w:highlight w:val="none"/>
        </w:rPr>
        <w:t>产品质量稳定可靠，未出现不良记录；(提供证明材料)</w:t>
      </w:r>
    </w:p>
    <w:p w14:paraId="5E145DE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lang w:val="en-US" w:eastAsia="zh-CN"/>
        </w:rPr>
        <w:t>7.</w:t>
      </w:r>
      <w:r>
        <w:rPr>
          <w:rFonts w:hint="eastAsia" w:ascii="宋体" w:hAnsi="宋体" w:eastAsia="宋体"/>
          <w:b w:val="0"/>
          <w:bCs w:val="0"/>
          <w:sz w:val="24"/>
          <w:szCs w:val="18"/>
          <w:highlight w:val="none"/>
        </w:rPr>
        <w:t>可实现样本处理自动化；</w:t>
      </w:r>
    </w:p>
    <w:p w14:paraId="23BC2BD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b/>
          <w:bCs/>
          <w:sz w:val="24"/>
          <w:szCs w:val="18"/>
          <w:highlight w:val="none"/>
        </w:rPr>
      </w:pPr>
      <w:r>
        <w:rPr>
          <w:rFonts w:hint="eastAsia" w:ascii="宋体" w:hAnsi="宋体" w:eastAsia="宋体"/>
          <w:b/>
          <w:bCs/>
          <w:sz w:val="24"/>
          <w:szCs w:val="18"/>
          <w:highlight w:val="none"/>
          <w:lang w:eastAsia="zh-CN"/>
        </w:rPr>
        <w:t>五</w:t>
      </w:r>
      <w:r>
        <w:rPr>
          <w:rFonts w:hint="eastAsia" w:ascii="宋体" w:hAnsi="宋体" w:eastAsia="宋体"/>
          <w:b/>
          <w:bCs/>
          <w:sz w:val="24"/>
          <w:szCs w:val="18"/>
          <w:highlight w:val="none"/>
        </w:rPr>
        <w:t>、乙肝五项</w:t>
      </w:r>
    </w:p>
    <w:p w14:paraId="418F71A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lang w:eastAsia="zh-CN"/>
        </w:rPr>
      </w:pPr>
      <w:r>
        <w:rPr>
          <w:rFonts w:hint="eastAsia" w:ascii="宋体" w:hAnsi="宋体" w:eastAsia="宋体"/>
          <w:b w:val="0"/>
          <w:bCs w:val="0"/>
          <w:sz w:val="24"/>
          <w:szCs w:val="18"/>
          <w:highlight w:val="none"/>
        </w:rPr>
        <w:t>★1.方法学：胶体金法</w:t>
      </w:r>
      <w:r>
        <w:rPr>
          <w:rFonts w:hint="eastAsia" w:ascii="宋体" w:hAnsi="宋体" w:eastAsia="宋体"/>
          <w:b w:val="0"/>
          <w:bCs w:val="0"/>
          <w:sz w:val="24"/>
          <w:szCs w:val="18"/>
          <w:highlight w:val="none"/>
          <w:lang w:eastAsia="zh-CN"/>
        </w:rPr>
        <w:t>；</w:t>
      </w:r>
    </w:p>
    <w:p w14:paraId="723DC51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lang w:eastAsia="zh-CN"/>
        </w:rPr>
      </w:pPr>
      <w:r>
        <w:rPr>
          <w:rFonts w:hint="eastAsia" w:ascii="宋体" w:hAnsi="宋体" w:eastAsia="宋体"/>
          <w:b w:val="0"/>
          <w:bCs w:val="0"/>
          <w:sz w:val="24"/>
          <w:szCs w:val="18"/>
          <w:highlight w:val="none"/>
        </w:rPr>
        <w:t>2.规格：20</w:t>
      </w:r>
      <w:r>
        <w:rPr>
          <w:rFonts w:hint="eastAsia" w:ascii="宋体" w:hAnsi="宋体" w:eastAsia="宋体"/>
          <w:b w:val="0"/>
          <w:bCs w:val="0"/>
          <w:sz w:val="24"/>
          <w:szCs w:val="18"/>
          <w:highlight w:val="none"/>
          <w:lang w:val="en-US" w:eastAsia="zh-CN"/>
        </w:rPr>
        <w:t>-22</w:t>
      </w:r>
      <w:r>
        <w:rPr>
          <w:rFonts w:hint="eastAsia" w:ascii="宋体" w:hAnsi="宋体" w:eastAsia="宋体"/>
          <w:b w:val="0"/>
          <w:bCs w:val="0"/>
          <w:sz w:val="24"/>
          <w:szCs w:val="18"/>
          <w:highlight w:val="none"/>
        </w:rPr>
        <w:t>0 人份/盒；</w:t>
      </w:r>
      <w:bookmarkStart w:id="115" w:name="_GoBack"/>
      <w:bookmarkEnd w:id="115"/>
    </w:p>
    <w:p w14:paraId="60FAC03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lang w:eastAsia="zh-CN"/>
        </w:rPr>
      </w:pPr>
      <w:r>
        <w:rPr>
          <w:rFonts w:hint="eastAsia" w:ascii="宋体" w:hAnsi="宋体" w:eastAsia="宋体"/>
          <w:b w:val="0"/>
          <w:bCs w:val="0"/>
          <w:sz w:val="24"/>
          <w:szCs w:val="18"/>
          <w:highlight w:val="none"/>
        </w:rPr>
        <w:t>▲3.乙型肝炎表面抗原连续三年参加国家卫生健康委临床检验中心感染性疾病抗原抗体快读检测室间质量评比，评估成绩结果均需合格(提供证明材料)</w:t>
      </w:r>
      <w:r>
        <w:rPr>
          <w:rFonts w:hint="eastAsia" w:ascii="宋体" w:hAnsi="宋体" w:eastAsia="宋体"/>
          <w:b w:val="0"/>
          <w:bCs w:val="0"/>
          <w:sz w:val="24"/>
          <w:szCs w:val="18"/>
          <w:highlight w:val="none"/>
          <w:lang w:eastAsia="zh-CN"/>
        </w:rPr>
        <w:t>；</w:t>
      </w:r>
    </w:p>
    <w:p w14:paraId="58479A2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4.储存条件：2～30℃密封干燥保存；</w:t>
      </w:r>
    </w:p>
    <w:p w14:paraId="6F4845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 xml:space="preserve">5.有效期:≥ </w:t>
      </w:r>
      <w:r>
        <w:rPr>
          <w:rFonts w:hint="eastAsia" w:ascii="宋体" w:hAnsi="宋体" w:eastAsia="宋体"/>
          <w:b w:val="0"/>
          <w:bCs w:val="0"/>
          <w:sz w:val="24"/>
          <w:szCs w:val="18"/>
          <w:highlight w:val="none"/>
          <w:lang w:val="en-US" w:eastAsia="zh-CN"/>
        </w:rPr>
        <w:t>24</w:t>
      </w:r>
      <w:r>
        <w:rPr>
          <w:rFonts w:hint="eastAsia" w:ascii="宋体" w:hAnsi="宋体" w:eastAsia="宋体"/>
          <w:b w:val="0"/>
          <w:bCs w:val="0"/>
          <w:sz w:val="24"/>
          <w:szCs w:val="18"/>
          <w:highlight w:val="none"/>
        </w:rPr>
        <w:t>个月；</w:t>
      </w:r>
    </w:p>
    <w:p w14:paraId="3B23E98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rPr>
        <w:t>▲6.表面抗原国</w:t>
      </w:r>
      <w:r>
        <w:rPr>
          <w:rFonts w:hint="eastAsia" w:ascii="宋体" w:hAnsi="宋体" w:eastAsia="宋体"/>
          <w:b w:val="0"/>
          <w:bCs w:val="0"/>
          <w:color w:val="auto"/>
          <w:sz w:val="24"/>
          <w:szCs w:val="18"/>
          <w:highlight w:val="none"/>
        </w:rPr>
        <w:t xml:space="preserve">家参考品阴阳性符合率 </w:t>
      </w: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lang w:val="en-US" w:eastAsia="zh-CN"/>
        </w:rPr>
        <w:t>99%</w:t>
      </w:r>
      <w:r>
        <w:rPr>
          <w:rFonts w:hint="eastAsia" w:ascii="宋体" w:hAnsi="宋体" w:eastAsia="宋体"/>
          <w:b w:val="0"/>
          <w:bCs w:val="0"/>
          <w:color w:val="auto"/>
          <w:sz w:val="24"/>
          <w:szCs w:val="18"/>
          <w:highlight w:val="none"/>
        </w:rPr>
        <w:t>，可检出 adr、adw、ay 亚型，最低检测量最低检测量≤5IU/mL；</w:t>
      </w:r>
    </w:p>
    <w:p w14:paraId="1321E5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7.表面抗体阴性参考品符合率 100%，最低检测量≤30IU/mL；</w:t>
      </w:r>
    </w:p>
    <w:p w14:paraId="0BA78E1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▲8.e 抗原阴性参考品符合率 15/15，阳性参考品符合率≥9/10，最低检测量≤ 5IU/mL；</w:t>
      </w:r>
    </w:p>
    <w:p w14:paraId="1D634C2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cs="@仿宋_GB2312"/>
          <w:b w:val="0"/>
          <w:bCs w:val="0"/>
          <w:kern w:val="2"/>
          <w:sz w:val="24"/>
          <w:szCs w:val="18"/>
          <w:lang w:val="en-US" w:eastAsia="zh-CN" w:bidi="ar-SA"/>
        </w:rPr>
        <w:t>9.</w:t>
      </w:r>
      <w:r>
        <w:rPr>
          <w:rFonts w:hint="eastAsia" w:ascii="宋体" w:hAnsi="宋体" w:eastAsia="宋体"/>
          <w:b w:val="0"/>
          <w:bCs w:val="0"/>
          <w:sz w:val="24"/>
          <w:szCs w:val="18"/>
          <w:highlight w:val="none"/>
        </w:rPr>
        <w:t>e 抗体阴性参考品符合率 15/15，阳性参考品符合率≥9/10，最低检测量≤6IU/mL；</w:t>
      </w:r>
    </w:p>
    <w:p w14:paraId="54E6787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10.核心抗体阴性参考品符合率 15/15，阳性参考品符合率≥14/15，最低检测量≤5IU/mL；</w:t>
      </w:r>
    </w:p>
    <w:p w14:paraId="74AEDC8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w:t>
      </w:r>
      <w:r>
        <w:rPr>
          <w:rFonts w:hint="eastAsia" w:ascii="宋体" w:hAnsi="宋体" w:eastAsia="宋体"/>
          <w:b w:val="0"/>
          <w:bCs w:val="0"/>
          <w:sz w:val="24"/>
          <w:szCs w:val="18"/>
          <w:highlight w:val="none"/>
          <w:lang w:val="en-US" w:eastAsia="zh-CN"/>
        </w:rPr>
        <w:t>1</w:t>
      </w:r>
      <w:r>
        <w:rPr>
          <w:rFonts w:hint="eastAsia" w:ascii="宋体" w:hAnsi="宋体" w:eastAsia="宋体"/>
          <w:b w:val="0"/>
          <w:bCs w:val="0"/>
          <w:sz w:val="24"/>
          <w:szCs w:val="18"/>
          <w:highlight w:val="none"/>
        </w:rPr>
        <w:t>.需提供该产品在国家食品药品监督管理局注册证。</w:t>
      </w:r>
    </w:p>
    <w:p w14:paraId="03141C5C">
      <w:pPr>
        <w:spacing w:line="360" w:lineRule="auto"/>
        <w:ind w:firstLine="437"/>
        <w:outlineLvl w:val="1"/>
        <w:rPr>
          <w:rFonts w:hint="eastAsia" w:ascii="宋体" w:hAnsi="宋体" w:eastAsia="宋体"/>
          <w:b/>
          <w:bCs/>
          <w:sz w:val="24"/>
          <w:szCs w:val="18"/>
          <w:highlight w:val="none"/>
        </w:rPr>
      </w:pPr>
      <w:r>
        <w:rPr>
          <w:rFonts w:hint="eastAsia" w:ascii="宋体" w:hAnsi="宋体" w:eastAsia="宋体"/>
          <w:b/>
          <w:bCs/>
          <w:sz w:val="24"/>
          <w:szCs w:val="18"/>
          <w:highlight w:val="none"/>
        </w:rPr>
        <w:t>三、报价要求</w:t>
      </w:r>
      <w:bookmarkEnd w:id="43"/>
      <w:bookmarkEnd w:id="44"/>
      <w:bookmarkEnd w:id="45"/>
    </w:p>
    <w:p w14:paraId="5869C8B5">
      <w:pPr>
        <w:spacing w:line="440" w:lineRule="exac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投标报价文件中的单价和总价全部采用人民币表示。投标人的报价应含有服务（货物）、所有辅材、安装、利润、税金、政策性文件规定及合同包含的所有风险、责任、义务等，即为完成招标文件要求的服务（货物）内容所包含的一切应有费用，中标价格今后将不作任何调整，采购人后期不再追加费用，投标投标人自行考虑投标风险。本项目采用综合单价合同，如项目实施过程中产品数量有所调整，则结算金额=实际采购数量*中标单价；</w:t>
      </w:r>
    </w:p>
    <w:p w14:paraId="4C50801E">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2.分项报价清单上应清楚地标明投标人拟提供货物的名称、型号、生产厂家、数量、单价和总价。</w:t>
      </w:r>
    </w:p>
    <w:p w14:paraId="2876ADE9">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3.投标人只允许有一个方案、一个报价。</w:t>
      </w:r>
    </w:p>
    <w:p w14:paraId="3CB8C8E5">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4.投标人应按“采购需求及技术参数要求”所列货物逐项进行单价报价，并最终按货物总量乘以货物单价报总价，不得采用总价下浮的方式进行报价。</w:t>
      </w:r>
    </w:p>
    <w:p w14:paraId="2332A152">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5.投标报价的价格是完成项目全部内容的价格，其总价即为履行合同的固定总价。</w:t>
      </w:r>
    </w:p>
    <w:p w14:paraId="2EB01535">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6.技术要求中规定的安装、调试和培训费用应包括在投标价格中。投标文件报价为含税价，采购人不再为此次招标支付任何费用。</w:t>
      </w:r>
    </w:p>
    <w:p w14:paraId="4AB1169D">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7.投标报价应由法定代表人或被授权人签署。</w:t>
      </w:r>
    </w:p>
    <w:p w14:paraId="15A7D164">
      <w:pPr>
        <w:spacing w:line="44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8.投标人的报价不得高于本次招标最高限价</w:t>
      </w:r>
      <w:r>
        <w:rPr>
          <w:rFonts w:hint="eastAsia" w:ascii="宋体" w:hAnsi="宋体" w:eastAsia="宋体" w:cs="宋体"/>
          <w:b/>
          <w:color w:val="000000"/>
          <w:sz w:val="24"/>
          <w:szCs w:val="24"/>
          <w:highlight w:val="none"/>
        </w:rPr>
        <w:t>，</w:t>
      </w:r>
      <w:r>
        <w:rPr>
          <w:rFonts w:hint="eastAsia" w:ascii="宋体" w:hAnsi="宋体" w:eastAsia="宋体" w:cs="宋体"/>
          <w:b/>
          <w:bCs/>
          <w:color w:val="000000"/>
          <w:sz w:val="24"/>
          <w:szCs w:val="24"/>
          <w:highlight w:val="none"/>
        </w:rPr>
        <w:t>否则将作为无效投标处理。</w:t>
      </w:r>
    </w:p>
    <w:p w14:paraId="367ED749">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9.如投标文件中未列明全面实现投标货物功能而必须配置的配套或辅助设施及相应技术措施的费用，这些费用将被视为已包含在总投标价中。</w:t>
      </w:r>
    </w:p>
    <w:p w14:paraId="2B3ACCEF">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10.投标价中不得包含招标文件要求以外的内容，否则，在评标时不予核减，但在授予合同时，采购人有权将这部分价格从其中标价格中扣除。</w:t>
      </w:r>
    </w:p>
    <w:p w14:paraId="292483E3">
      <w:pPr>
        <w:spacing w:line="44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0A7179FF">
      <w:pPr>
        <w:spacing w:line="44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12.投标人不得对从第三方采购货物的随机备品、备件另行收费，否则在计算评标价时这部分费用将不予扣除，在授予合同时将从中标价格中扣除该部分费用。</w:t>
      </w:r>
    </w:p>
    <w:p w14:paraId="2F098A92">
      <w:pPr>
        <w:spacing w:line="440" w:lineRule="exact"/>
        <w:ind w:firstLine="460" w:firstLineChars="192"/>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13.投标人应根据货物（服务）的状况列出随机备品备件的清单和数量，并将该备品备件价格计入总投标价，若所提供的产品无需备件，则应在投标文件中说明；无论投标人在报价中列明随机备品备件的数量及价格多少，在质保期内采购人均无需为维护维修保养所需的专用工具和备品备件另行支付费用。</w:t>
      </w:r>
    </w:p>
    <w:p w14:paraId="5008C685">
      <w:pPr>
        <w:spacing w:line="360" w:lineRule="auto"/>
        <w:ind w:firstLine="437"/>
        <w:outlineLvl w:val="1"/>
        <w:rPr>
          <w:rFonts w:hint="eastAsia" w:ascii="宋体" w:hAnsi="宋体" w:eastAsia="宋体" w:cs="宋体"/>
          <w:b/>
          <w:bCs/>
          <w:sz w:val="24"/>
          <w:szCs w:val="24"/>
          <w:highlight w:val="none"/>
        </w:rPr>
      </w:pPr>
      <w:bookmarkStart w:id="46" w:name="_Toc14698"/>
      <w:bookmarkStart w:id="47" w:name="_Toc15293"/>
      <w:bookmarkStart w:id="48" w:name="_Toc22192"/>
      <w:r>
        <w:rPr>
          <w:rFonts w:hint="eastAsia" w:ascii="宋体" w:hAnsi="宋体" w:eastAsia="宋体" w:cs="宋体"/>
          <w:b/>
          <w:bCs/>
          <w:sz w:val="24"/>
          <w:szCs w:val="24"/>
          <w:highlight w:val="none"/>
        </w:rPr>
        <w:t>四、其他要求</w:t>
      </w:r>
      <w:bookmarkEnd w:id="46"/>
      <w:bookmarkEnd w:id="47"/>
      <w:bookmarkEnd w:id="48"/>
    </w:p>
    <w:p w14:paraId="738C863F">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（一）货物的生产、安装、维修、检验、验收等按照以下原则执行：有国家标准的执行国家标准；无国家标准的执行行业标准；无行业标准的执行地方标准；无地方标准的执行企业标准。 </w:t>
      </w:r>
    </w:p>
    <w:p w14:paraId="7AB21708">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（二）如果在技术参数或配置中标明了品牌或产地，则仅供参考，并非指定，但供应商提供的货物必须满足主要技术参数及配置要求，供应商可以选用替代的方案，但这种替代整体上要优于或相当于</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的相关要求。</w:t>
      </w:r>
    </w:p>
    <w:p w14:paraId="007413F4">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三）供货时所有货物（包括零部件）须为全新的、未使用过的原装正品，并完全符合国家质量标准，提供厂家出具的合格证书、有国家强制性认证要求的产品须提供相应证书，货物的技术参数及配置情况必须由供应商提供国家相关检测机构出具的检验报告、生产厂家公开发布的印刷资料等技术资料予以支持。没有技术资料支持的技术参数及配置不能视为响应。 (厂家出具的合格证书供货时提供) </w:t>
      </w:r>
    </w:p>
    <w:p w14:paraId="302B3C3B">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（四）技术支持 </w:t>
      </w:r>
    </w:p>
    <w:p w14:paraId="278DF983">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1、中标人应向采购人提供全方位、及时而有效的技术支持和服务。 </w:t>
      </w:r>
    </w:p>
    <w:p w14:paraId="6CFD6547">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2、中标人负责供货、安装、调试。 </w:t>
      </w:r>
    </w:p>
    <w:p w14:paraId="13C2F4DC">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3、中标人负责将货物的全部有关技术文件（外文应提供中文翻译资料，下同）、施工图纸、资料、测试、验收报告等汇集成册交付采购人。 </w:t>
      </w:r>
    </w:p>
    <w:p w14:paraId="5DDC8F1F">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（五）验收： </w:t>
      </w:r>
    </w:p>
    <w:p w14:paraId="6B7FFD5E">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1、采购人和相关部门按照国家规定标准验收，没有国家标准的按行业标准验收，无行业标准的按地方或企业标准验收，中标人予以配合。涉及安全、消防、环保等其他需要由质检或行业主管部门验收的项目， 采购人须约请相关部门和专家参加项目验收。 </w:t>
      </w:r>
    </w:p>
    <w:p w14:paraId="3D77D0B2">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货物在验收时，供应商应提供发票、制造厂家出具的产品合格证书、装箱清单等；提供有关货物的操作规程和使用说明书，维护手册、保养修理所需的各种随机工具及相关设计、制造、检验、安装、技术性指导等文件和应由供应商提供的必要文件。 </w:t>
      </w:r>
    </w:p>
    <w:p w14:paraId="45489817">
      <w:pPr>
        <w:spacing w:line="360" w:lineRule="auto"/>
        <w:ind w:firstLine="437"/>
        <w:rPr>
          <w:rFonts w:hint="eastAsia" w:ascii="宋体" w:hAnsi="宋体" w:eastAsia="宋体"/>
          <w:bCs/>
          <w:sz w:val="24"/>
          <w:szCs w:val="18"/>
          <w:highlight w:val="none"/>
        </w:rPr>
      </w:pPr>
    </w:p>
    <w:p w14:paraId="66BED552">
      <w:pPr>
        <w:spacing w:before="156" w:beforeLines="50" w:after="156" w:afterLines="50" w:line="440" w:lineRule="exact"/>
        <w:ind w:firstLine="562" w:firstLineChars="200"/>
        <w:jc w:val="center"/>
        <w:rPr>
          <w:rFonts w:hint="eastAsia" w:ascii="宋体" w:hAnsi="宋体" w:cs="宋体"/>
          <w:b/>
          <w:sz w:val="28"/>
          <w:szCs w:val="28"/>
          <w:highlight w:val="none"/>
        </w:rPr>
      </w:pPr>
    </w:p>
    <w:p w14:paraId="36293FF4">
      <w:pPr>
        <w:spacing w:before="156" w:beforeLines="50" w:after="156" w:afterLines="50" w:line="440" w:lineRule="exact"/>
        <w:ind w:firstLine="562" w:firstLineChars="200"/>
        <w:jc w:val="center"/>
        <w:rPr>
          <w:rFonts w:hint="eastAsia" w:ascii="宋体" w:hAnsi="宋体" w:cs="宋体"/>
          <w:b/>
          <w:sz w:val="28"/>
          <w:szCs w:val="28"/>
          <w:highlight w:val="none"/>
        </w:rPr>
      </w:pPr>
    </w:p>
    <w:p w14:paraId="3F9C87D3">
      <w:pPr>
        <w:spacing w:line="360" w:lineRule="auto"/>
        <w:ind w:firstLine="437"/>
        <w:rPr>
          <w:rFonts w:hint="eastAsia" w:ascii="宋体" w:hAnsi="宋体" w:eastAsia="宋体"/>
          <w:b/>
          <w:bCs/>
          <w:sz w:val="24"/>
          <w:szCs w:val="18"/>
          <w:highlight w:val="none"/>
        </w:rPr>
      </w:pPr>
    </w:p>
    <w:p w14:paraId="6441F9EB">
      <w:pP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25DDFB6B">
      <w:pPr>
        <w:spacing w:line="360" w:lineRule="auto"/>
        <w:jc w:val="center"/>
        <w:outlineLvl w:val="0"/>
        <w:rPr>
          <w:rFonts w:hint="eastAsia" w:asciiTheme="minorEastAsia" w:hAnsiTheme="minorEastAsia" w:eastAsiaTheme="minorEastAsia"/>
          <w:b/>
          <w:sz w:val="28"/>
          <w:highlight w:val="none"/>
        </w:rPr>
      </w:pPr>
      <w:bookmarkStart w:id="49" w:name="_Toc18923"/>
      <w:r>
        <w:rPr>
          <w:rFonts w:hint="eastAsia" w:asciiTheme="minorEastAsia" w:hAnsiTheme="minorEastAsia" w:eastAsiaTheme="minorEastAsia"/>
          <w:b/>
          <w:sz w:val="28"/>
          <w:highlight w:val="none"/>
        </w:rPr>
        <w:t>第四章  评标方法和标准（综合评分法）</w:t>
      </w:r>
      <w:bookmarkEnd w:id="49"/>
    </w:p>
    <w:p w14:paraId="504BBB24">
      <w:pPr>
        <w:spacing w:line="360" w:lineRule="auto"/>
        <w:ind w:firstLine="437"/>
        <w:outlineLvl w:val="1"/>
        <w:rPr>
          <w:rFonts w:hint="eastAsia" w:asciiTheme="minorEastAsia" w:hAnsiTheme="minorEastAsia" w:eastAsiaTheme="minorEastAsia"/>
          <w:b/>
          <w:sz w:val="24"/>
          <w:highlight w:val="none"/>
        </w:rPr>
      </w:pPr>
      <w:bookmarkStart w:id="50" w:name="_Toc1246"/>
      <w:bookmarkStart w:id="51" w:name="_Toc2773"/>
      <w:bookmarkStart w:id="52" w:name="_Toc11823"/>
      <w:r>
        <w:rPr>
          <w:rFonts w:hint="eastAsia" w:asciiTheme="minorEastAsia" w:hAnsiTheme="minorEastAsia" w:eastAsiaTheme="minorEastAsia"/>
          <w:b/>
          <w:sz w:val="24"/>
          <w:highlight w:val="none"/>
        </w:rPr>
        <w:t>一、总则</w:t>
      </w:r>
      <w:bookmarkEnd w:id="50"/>
      <w:bookmarkEnd w:id="51"/>
      <w:bookmarkEnd w:id="52"/>
    </w:p>
    <w:p w14:paraId="0CE8F28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本项目将按照招标文件第二章 投标人须知的相关要求</w:t>
      </w:r>
      <w:r>
        <w:rPr>
          <w:rFonts w:asciiTheme="minorEastAsia" w:hAnsiTheme="minorEastAsia" w:eastAsiaTheme="minorEastAsia"/>
          <w:sz w:val="24"/>
          <w:highlight w:val="none"/>
        </w:rPr>
        <w:t>及本章的规定评标。</w:t>
      </w:r>
    </w:p>
    <w:p w14:paraId="4D369B91">
      <w:pPr>
        <w:spacing w:line="360" w:lineRule="auto"/>
        <w:ind w:firstLine="437"/>
        <w:outlineLvl w:val="1"/>
        <w:rPr>
          <w:rFonts w:hint="eastAsia" w:asciiTheme="minorEastAsia" w:hAnsiTheme="minorEastAsia" w:eastAsiaTheme="minorEastAsia"/>
          <w:b/>
          <w:sz w:val="24"/>
          <w:highlight w:val="none"/>
        </w:rPr>
      </w:pPr>
      <w:bookmarkStart w:id="53" w:name="_Toc5242"/>
      <w:bookmarkStart w:id="54" w:name="_Toc13117"/>
      <w:bookmarkStart w:id="55" w:name="_Toc31871"/>
      <w:r>
        <w:rPr>
          <w:rFonts w:hint="eastAsia" w:asciiTheme="minorEastAsia" w:hAnsiTheme="minorEastAsia" w:eastAsiaTheme="minorEastAsia"/>
          <w:b/>
          <w:sz w:val="24"/>
          <w:highlight w:val="none"/>
        </w:rPr>
        <w:t>二、评标方法</w:t>
      </w:r>
      <w:bookmarkEnd w:id="53"/>
      <w:bookmarkEnd w:id="54"/>
      <w:bookmarkEnd w:id="55"/>
    </w:p>
    <w:p w14:paraId="39783B39">
      <w:pP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2.1资格审查</w:t>
      </w:r>
    </w:p>
    <w:tbl>
      <w:tblPr>
        <w:tblStyle w:val="25"/>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989"/>
        <w:gridCol w:w="5287"/>
        <w:gridCol w:w="2069"/>
      </w:tblGrid>
      <w:tr w14:paraId="7E35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C46C980">
            <w:pPr>
              <w:adjustRightInd w:val="0"/>
              <w:snapToGrid w:val="0"/>
              <w:spacing w:line="360" w:lineRule="exact"/>
              <w:ind w:right="-10"/>
              <w:jc w:val="center"/>
              <w:rPr>
                <w:rFonts w:hint="eastAsia" w:ascii="宋体" w:hAnsi="宋体" w:eastAsia="宋体"/>
                <w:sz w:val="24"/>
                <w:highlight w:val="none"/>
              </w:rPr>
            </w:pPr>
            <w:r>
              <w:rPr>
                <w:rFonts w:hint="eastAsia" w:ascii="宋体" w:hAnsi="宋体" w:eastAsia="宋体"/>
                <w:b/>
                <w:sz w:val="24"/>
                <w:szCs w:val="22"/>
                <w:highlight w:val="none"/>
              </w:rPr>
              <w:t>资格审查表</w:t>
            </w:r>
          </w:p>
        </w:tc>
      </w:tr>
      <w:tr w14:paraId="4268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Borders>
              <w:bottom w:val="single" w:color="auto" w:sz="4" w:space="0"/>
            </w:tcBorders>
            <w:vAlign w:val="center"/>
          </w:tcPr>
          <w:p w14:paraId="5ED87F1C">
            <w:pPr>
              <w:adjustRightInd w:val="0"/>
              <w:snapToGrid w:val="0"/>
              <w:spacing w:line="360" w:lineRule="exact"/>
              <w:ind w:right="-10"/>
              <w:jc w:val="center"/>
              <w:rPr>
                <w:rFonts w:hint="eastAsia" w:ascii="宋体" w:hAnsi="宋体" w:eastAsia="宋体"/>
                <w:sz w:val="24"/>
                <w:highlight w:val="none"/>
              </w:rPr>
            </w:pPr>
            <w:r>
              <w:rPr>
                <w:rFonts w:hint="eastAsia" w:ascii="宋体" w:hAnsi="宋体" w:eastAsia="宋体"/>
                <w:sz w:val="24"/>
                <w:highlight w:val="none"/>
              </w:rPr>
              <w:t>序号</w:t>
            </w:r>
          </w:p>
        </w:tc>
        <w:tc>
          <w:tcPr>
            <w:tcW w:w="987" w:type="pct"/>
            <w:tcBorders>
              <w:bottom w:val="single" w:color="auto" w:sz="4" w:space="0"/>
            </w:tcBorders>
            <w:vAlign w:val="center"/>
          </w:tcPr>
          <w:p w14:paraId="4EF445E0">
            <w:pPr>
              <w:pStyle w:val="44"/>
              <w:pBdr>
                <w:bottom w:val="none" w:color="auto" w:sz="0" w:space="0"/>
              </w:pBdr>
              <w:tabs>
                <w:tab w:val="clear" w:pos="4153"/>
                <w:tab w:val="clear" w:pos="8306"/>
              </w:tabs>
              <w:snapToGrid w:val="0"/>
              <w:spacing w:line="360" w:lineRule="exact"/>
              <w:ind w:right="-10"/>
              <w:textAlignment w:val="auto"/>
              <w:rPr>
                <w:rFonts w:hint="eastAsia" w:ascii="宋体" w:hAnsi="宋体" w:eastAsia="宋体"/>
                <w:kern w:val="2"/>
                <w:szCs w:val="24"/>
                <w:highlight w:val="none"/>
              </w:rPr>
            </w:pPr>
            <w:r>
              <w:rPr>
                <w:rFonts w:hint="eastAsia" w:ascii="宋体" w:hAnsi="宋体" w:eastAsia="宋体"/>
                <w:kern w:val="2"/>
                <w:szCs w:val="24"/>
                <w:highlight w:val="none"/>
              </w:rPr>
              <w:t>审查因素</w:t>
            </w:r>
          </w:p>
        </w:tc>
        <w:tc>
          <w:tcPr>
            <w:tcW w:w="2624" w:type="pct"/>
            <w:tcBorders>
              <w:bottom w:val="single" w:color="auto" w:sz="4" w:space="0"/>
            </w:tcBorders>
            <w:vAlign w:val="center"/>
          </w:tcPr>
          <w:p w14:paraId="60B75333">
            <w:pPr>
              <w:adjustRightInd w:val="0"/>
              <w:snapToGrid w:val="0"/>
              <w:spacing w:line="360" w:lineRule="exact"/>
              <w:ind w:right="-10"/>
              <w:jc w:val="center"/>
              <w:rPr>
                <w:rFonts w:hint="eastAsia" w:ascii="宋体" w:hAnsi="宋体" w:eastAsia="宋体"/>
                <w:sz w:val="24"/>
                <w:highlight w:val="none"/>
              </w:rPr>
            </w:pPr>
            <w:r>
              <w:rPr>
                <w:rFonts w:hint="eastAsia" w:ascii="宋体" w:hAnsi="宋体" w:eastAsia="宋体"/>
                <w:sz w:val="24"/>
                <w:highlight w:val="none"/>
              </w:rPr>
              <w:t>审查内容</w:t>
            </w:r>
          </w:p>
        </w:tc>
        <w:tc>
          <w:tcPr>
            <w:tcW w:w="1025" w:type="pct"/>
            <w:tcBorders>
              <w:bottom w:val="single" w:color="auto" w:sz="4" w:space="0"/>
            </w:tcBorders>
            <w:vAlign w:val="center"/>
          </w:tcPr>
          <w:p w14:paraId="16050B21">
            <w:pPr>
              <w:adjustRightInd w:val="0"/>
              <w:snapToGrid w:val="0"/>
              <w:spacing w:line="360" w:lineRule="exact"/>
              <w:ind w:right="-10"/>
              <w:jc w:val="center"/>
              <w:rPr>
                <w:rFonts w:hint="eastAsia" w:ascii="宋体" w:hAnsi="宋体" w:eastAsia="宋体"/>
                <w:sz w:val="24"/>
                <w:highlight w:val="none"/>
              </w:rPr>
            </w:pPr>
            <w:r>
              <w:rPr>
                <w:rFonts w:hint="eastAsia" w:ascii="宋体" w:hAnsi="宋体" w:eastAsia="宋体"/>
                <w:sz w:val="24"/>
                <w:highlight w:val="none"/>
              </w:rPr>
              <w:t>格式要求</w:t>
            </w:r>
          </w:p>
        </w:tc>
      </w:tr>
      <w:tr w14:paraId="39F3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2" w:type="pct"/>
            <w:tcBorders>
              <w:bottom w:val="single" w:color="auto" w:sz="4" w:space="0"/>
            </w:tcBorders>
            <w:vAlign w:val="center"/>
          </w:tcPr>
          <w:p w14:paraId="2605FF90">
            <w:pPr>
              <w:adjustRightInd w:val="0"/>
              <w:snapToGrid w:val="0"/>
              <w:spacing w:line="360" w:lineRule="exact"/>
              <w:ind w:right="-10"/>
              <w:jc w:val="center"/>
              <w:rPr>
                <w:rFonts w:hint="eastAsia" w:ascii="宋体" w:hAnsi="宋体" w:eastAsia="宋体"/>
                <w:sz w:val="24"/>
                <w:highlight w:val="none"/>
              </w:rPr>
            </w:pPr>
            <w:r>
              <w:rPr>
                <w:rFonts w:hint="eastAsia" w:ascii="宋体" w:hAnsi="宋体" w:eastAsia="宋体"/>
                <w:sz w:val="24"/>
                <w:highlight w:val="none"/>
              </w:rPr>
              <w:t>1</w:t>
            </w:r>
          </w:p>
        </w:tc>
        <w:tc>
          <w:tcPr>
            <w:tcW w:w="987" w:type="pct"/>
            <w:tcBorders>
              <w:bottom w:val="single" w:color="auto" w:sz="4" w:space="0"/>
            </w:tcBorders>
            <w:vAlign w:val="center"/>
          </w:tcPr>
          <w:p w14:paraId="0FF131E2">
            <w:pPr>
              <w:spacing w:line="360" w:lineRule="exact"/>
              <w:ind w:right="-10"/>
              <w:jc w:val="center"/>
              <w:rPr>
                <w:rFonts w:hint="eastAsia" w:ascii="宋体" w:hAnsi="宋体" w:eastAsia="宋体"/>
                <w:sz w:val="24"/>
                <w:szCs w:val="28"/>
                <w:highlight w:val="none"/>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624" w:type="pct"/>
            <w:tcBorders>
              <w:bottom w:val="single" w:color="auto" w:sz="4" w:space="0"/>
            </w:tcBorders>
            <w:vAlign w:val="center"/>
          </w:tcPr>
          <w:p w14:paraId="16C6A0C4">
            <w:pPr>
              <w:spacing w:line="36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供有效的营业执照；</w:t>
            </w:r>
          </w:p>
          <w:p w14:paraId="7536E724">
            <w:pPr>
              <w:spacing w:line="36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供有效的事业单位法人证书；</w:t>
            </w:r>
          </w:p>
          <w:p w14:paraId="2FD7DE02">
            <w:pPr>
              <w:spacing w:line="36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rPr>
              <w:t>或</w:t>
            </w:r>
            <w:r>
              <w:rPr>
                <w:rFonts w:ascii="宋体" w:hAnsi="宋体" w:eastAsia="宋体" w:cs="宋体"/>
                <w:sz w:val="24"/>
                <w:szCs w:val="24"/>
                <w:highlight w:val="none"/>
              </w:rPr>
              <w:t>登记证书等证明文件；</w:t>
            </w:r>
          </w:p>
          <w:p w14:paraId="119F4973">
            <w:pPr>
              <w:spacing w:line="36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供有效的个体工商户营业执照；</w:t>
            </w:r>
          </w:p>
          <w:p w14:paraId="6DF4FF89">
            <w:pPr>
              <w:spacing w:line="360" w:lineRule="exact"/>
              <w:ind w:right="-10"/>
              <w:jc w:val="left"/>
              <w:rPr>
                <w:rFonts w:hint="eastAsia" w:ascii="宋体" w:hAnsi="宋体" w:eastAsia="宋体"/>
                <w:sz w:val="24"/>
                <w:szCs w:val="28"/>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供有效的自然人身份证明。</w:t>
            </w:r>
          </w:p>
        </w:tc>
        <w:tc>
          <w:tcPr>
            <w:tcW w:w="1025" w:type="pct"/>
            <w:vAlign w:val="center"/>
          </w:tcPr>
          <w:p w14:paraId="34544E48">
            <w:pPr>
              <w:spacing w:line="360" w:lineRule="exact"/>
              <w:jc w:val="left"/>
              <w:rPr>
                <w:rFonts w:hint="eastAsia" w:ascii="宋体" w:hAnsi="宋体" w:eastAsia="宋体"/>
                <w:sz w:val="24"/>
                <w:highlight w:val="none"/>
              </w:rPr>
            </w:pPr>
            <w:r>
              <w:rPr>
                <w:rFonts w:hint="eastAsia" w:ascii="宋体" w:hAnsi="宋体" w:eastAsia="宋体" w:cs="宋体"/>
                <w:sz w:val="24"/>
                <w:szCs w:val="24"/>
              </w:rPr>
              <w:t>提供材料，应完整的体现出材料全部内容</w:t>
            </w:r>
            <w:r>
              <w:rPr>
                <w:rFonts w:hint="eastAsia" w:ascii="宋体" w:hAnsi="宋体" w:eastAsia="宋体" w:cs="宋体"/>
                <w:sz w:val="24"/>
                <w:szCs w:val="24"/>
                <w:highlight w:val="none"/>
              </w:rPr>
              <w:t>。联合体投标的联合体各方均须提供。</w:t>
            </w:r>
          </w:p>
        </w:tc>
      </w:tr>
      <w:tr w14:paraId="75FA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62" w:type="pct"/>
            <w:tcBorders>
              <w:bottom w:val="single" w:color="auto" w:sz="4" w:space="0"/>
            </w:tcBorders>
            <w:vAlign w:val="center"/>
          </w:tcPr>
          <w:p w14:paraId="6F9E262D">
            <w:pPr>
              <w:adjustRightInd w:val="0"/>
              <w:snapToGrid w:val="0"/>
              <w:spacing w:line="360" w:lineRule="exact"/>
              <w:ind w:right="-10"/>
              <w:jc w:val="center"/>
              <w:rPr>
                <w:rFonts w:hint="eastAsia" w:ascii="宋体" w:hAnsi="宋体" w:eastAsia="宋体"/>
                <w:sz w:val="24"/>
                <w:highlight w:val="none"/>
              </w:rPr>
            </w:pPr>
            <w:r>
              <w:rPr>
                <w:rFonts w:hint="eastAsia" w:ascii="宋体" w:hAnsi="宋体" w:eastAsia="宋体"/>
                <w:sz w:val="24"/>
                <w:highlight w:val="none"/>
              </w:rPr>
              <w:t>2</w:t>
            </w:r>
          </w:p>
        </w:tc>
        <w:tc>
          <w:tcPr>
            <w:tcW w:w="987" w:type="pct"/>
            <w:tcBorders>
              <w:bottom w:val="single" w:color="auto" w:sz="4" w:space="0"/>
            </w:tcBorders>
            <w:vAlign w:val="center"/>
          </w:tcPr>
          <w:p w14:paraId="72C2B9D0">
            <w:pPr>
              <w:spacing w:line="360" w:lineRule="exact"/>
              <w:ind w:right="-10"/>
              <w:jc w:val="center"/>
              <w:rPr>
                <w:rFonts w:hint="eastAsia" w:ascii="宋体" w:hAnsi="宋体" w:eastAsia="宋体"/>
                <w:sz w:val="24"/>
                <w:szCs w:val="28"/>
                <w:highlight w:val="none"/>
              </w:rPr>
            </w:pPr>
            <w:r>
              <w:rPr>
                <w:rFonts w:hint="eastAsia" w:ascii="宋体" w:hAnsi="宋体" w:eastAsia="宋体"/>
                <w:sz w:val="24"/>
                <w:szCs w:val="18"/>
                <w:highlight w:val="none"/>
              </w:rPr>
              <w:t>投标人资格声明书</w:t>
            </w:r>
          </w:p>
        </w:tc>
        <w:tc>
          <w:tcPr>
            <w:tcW w:w="2624" w:type="pct"/>
            <w:tcBorders>
              <w:bottom w:val="single" w:color="auto" w:sz="4" w:space="0"/>
            </w:tcBorders>
            <w:vAlign w:val="center"/>
          </w:tcPr>
          <w:p w14:paraId="21F7AB7E">
            <w:pPr>
              <w:spacing w:line="360" w:lineRule="exact"/>
              <w:ind w:right="-10"/>
              <w:jc w:val="left"/>
              <w:rPr>
                <w:rFonts w:hint="eastAsia" w:ascii="宋体" w:hAnsi="宋体" w:eastAsia="宋体"/>
                <w:sz w:val="24"/>
                <w:szCs w:val="28"/>
                <w:highlight w:val="none"/>
              </w:rPr>
            </w:pPr>
            <w:r>
              <w:rPr>
                <w:rFonts w:hint="eastAsia" w:ascii="宋体" w:hAnsi="宋体" w:eastAsia="宋体" w:cs="宋体"/>
                <w:sz w:val="24"/>
                <w:szCs w:val="24"/>
                <w:highlight w:val="none"/>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rPr>
              <w:t>。</w:t>
            </w:r>
          </w:p>
        </w:tc>
        <w:tc>
          <w:tcPr>
            <w:tcW w:w="1025" w:type="pct"/>
            <w:vAlign w:val="center"/>
          </w:tcPr>
          <w:p w14:paraId="1B03B1E5">
            <w:pPr>
              <w:spacing w:line="360" w:lineRule="exact"/>
              <w:jc w:val="left"/>
              <w:rPr>
                <w:rFonts w:hint="eastAsia" w:ascii="宋体" w:hAnsi="宋体" w:eastAsia="宋体" w:cs="宋体"/>
                <w:sz w:val="24"/>
                <w:szCs w:val="24"/>
                <w:highlight w:val="none"/>
              </w:rPr>
            </w:pPr>
            <w:r>
              <w:rPr>
                <w:rFonts w:hint="eastAsia" w:ascii="宋体" w:hAnsi="宋体" w:eastAsia="宋体"/>
                <w:sz w:val="24"/>
                <w:highlight w:val="none"/>
              </w:rPr>
              <w:t>详见第六章投标文件格式。</w:t>
            </w:r>
          </w:p>
        </w:tc>
      </w:tr>
      <w:tr w14:paraId="3193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Borders>
              <w:bottom w:val="single" w:color="auto" w:sz="4" w:space="0"/>
            </w:tcBorders>
            <w:vAlign w:val="center"/>
          </w:tcPr>
          <w:p w14:paraId="3EB46A04">
            <w:pPr>
              <w:adjustRightInd w:val="0"/>
              <w:snapToGrid w:val="0"/>
              <w:spacing w:line="360" w:lineRule="exact"/>
              <w:ind w:right="-10"/>
              <w:jc w:val="center"/>
              <w:rPr>
                <w:rFonts w:hint="eastAsia" w:ascii="宋体" w:hAnsi="宋体" w:eastAsia="宋体"/>
                <w:sz w:val="24"/>
                <w:highlight w:val="none"/>
              </w:rPr>
            </w:pPr>
            <w:r>
              <w:rPr>
                <w:rFonts w:hint="eastAsia" w:ascii="宋体" w:hAnsi="宋体" w:eastAsia="宋体"/>
                <w:sz w:val="24"/>
                <w:highlight w:val="none"/>
              </w:rPr>
              <w:t>3</w:t>
            </w:r>
          </w:p>
        </w:tc>
        <w:tc>
          <w:tcPr>
            <w:tcW w:w="987" w:type="pct"/>
            <w:tcBorders>
              <w:bottom w:val="single" w:color="auto" w:sz="4" w:space="0"/>
            </w:tcBorders>
            <w:vAlign w:val="center"/>
          </w:tcPr>
          <w:p w14:paraId="14B0E6FE">
            <w:pPr>
              <w:spacing w:line="360" w:lineRule="exact"/>
              <w:ind w:right="-10"/>
              <w:jc w:val="center"/>
              <w:rPr>
                <w:rFonts w:hint="eastAsia" w:ascii="宋体" w:hAnsi="宋体" w:eastAsia="宋体"/>
                <w:sz w:val="24"/>
                <w:szCs w:val="28"/>
                <w:highlight w:val="none"/>
              </w:rPr>
            </w:pPr>
            <w:r>
              <w:rPr>
                <w:rFonts w:hint="eastAsia" w:ascii="宋体" w:hAnsi="宋体" w:eastAsia="宋体" w:cs="宋体"/>
                <w:sz w:val="24"/>
                <w:szCs w:val="24"/>
                <w:highlight w:val="none"/>
              </w:rPr>
              <w:t>投标人信用记录</w:t>
            </w:r>
          </w:p>
        </w:tc>
        <w:tc>
          <w:tcPr>
            <w:tcW w:w="2624" w:type="pct"/>
            <w:tcBorders>
              <w:bottom w:val="single" w:color="auto" w:sz="4" w:space="0"/>
            </w:tcBorders>
            <w:vAlign w:val="center"/>
          </w:tcPr>
          <w:p w14:paraId="598CAFD1">
            <w:pPr>
              <w:spacing w:line="360" w:lineRule="exact"/>
              <w:ind w:right="-10"/>
              <w:jc w:val="left"/>
              <w:rPr>
                <w:rFonts w:hint="eastAsia"/>
                <w:highlight w:val="none"/>
              </w:rPr>
            </w:pPr>
            <w:r>
              <w:rPr>
                <w:rFonts w:hint="eastAsia" w:ascii="宋体" w:hAnsi="宋体" w:eastAsia="宋体" w:cs="宋体"/>
                <w:sz w:val="24"/>
                <w:szCs w:val="24"/>
                <w:highlight w:val="none"/>
                <w:lang w:val="zh-CN"/>
              </w:rPr>
              <w:t>投标人不得存在</w:t>
            </w:r>
            <w:r>
              <w:rPr>
                <w:rFonts w:hint="eastAsia" w:ascii="宋体" w:hAnsi="宋体" w:eastAsia="宋体" w:cs="宋体"/>
                <w:sz w:val="24"/>
                <w:szCs w:val="24"/>
                <w:highlight w:val="none"/>
              </w:rPr>
              <w:t>投标邀请第4条信誉要求和</w:t>
            </w:r>
            <w:r>
              <w:rPr>
                <w:rFonts w:hint="eastAsia" w:ascii="宋体" w:hAnsi="宋体" w:eastAsia="宋体" w:cs="宋体"/>
                <w:sz w:val="24"/>
                <w:szCs w:val="24"/>
                <w:highlight w:val="none"/>
                <w:lang w:val="zh-CN"/>
              </w:rPr>
              <w:t>投标人须知正文第1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条中</w:t>
            </w:r>
            <w:r>
              <w:rPr>
                <w:rFonts w:hint="eastAsia" w:ascii="宋体" w:hAnsi="宋体" w:eastAsia="宋体"/>
                <w:sz w:val="24"/>
                <w:szCs w:val="28"/>
                <w:highlight w:val="none"/>
              </w:rPr>
              <w:t>的</w:t>
            </w:r>
            <w:r>
              <w:rPr>
                <w:rFonts w:hint="eastAsia" w:ascii="宋体" w:hAnsi="宋体" w:eastAsia="宋体"/>
                <w:sz w:val="24"/>
                <w:szCs w:val="18"/>
                <w:highlight w:val="none"/>
              </w:rPr>
              <w:t>不良信用记录情形</w:t>
            </w:r>
          </w:p>
        </w:tc>
        <w:tc>
          <w:tcPr>
            <w:tcW w:w="1025" w:type="pct"/>
            <w:tcBorders>
              <w:bottom w:val="single" w:color="auto" w:sz="4" w:space="0"/>
            </w:tcBorders>
            <w:vAlign w:val="center"/>
          </w:tcPr>
          <w:p w14:paraId="21741418">
            <w:pPr>
              <w:spacing w:line="360" w:lineRule="exact"/>
              <w:jc w:val="left"/>
              <w:rPr>
                <w:rFonts w:hint="eastAsia"/>
                <w:highlight w:val="none"/>
              </w:rPr>
            </w:pPr>
            <w:r>
              <w:rPr>
                <w:rFonts w:hint="eastAsia" w:ascii="宋体" w:hAnsi="宋体" w:eastAsia="宋体" w:cs="宋体"/>
                <w:sz w:val="24"/>
                <w:szCs w:val="24"/>
                <w:highlight w:val="none"/>
              </w:rPr>
              <w:t>无须投标人提供，由采购人或采购代理机构查询。</w:t>
            </w:r>
          </w:p>
        </w:tc>
      </w:tr>
      <w:tr w14:paraId="4831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60192E20">
            <w:pPr>
              <w:adjustRightInd w:val="0"/>
              <w:snapToGrid w:val="0"/>
              <w:spacing w:line="360" w:lineRule="exact"/>
              <w:ind w:right="-10"/>
              <w:jc w:val="center"/>
              <w:rPr>
                <w:rFonts w:hint="eastAsia" w:ascii="宋体" w:hAnsi="宋体" w:eastAsia="宋体"/>
                <w:sz w:val="24"/>
                <w:highlight w:val="none"/>
              </w:rPr>
            </w:pPr>
            <w:r>
              <w:rPr>
                <w:rFonts w:hint="eastAsia" w:ascii="宋体" w:hAnsi="宋体" w:eastAsia="宋体"/>
                <w:sz w:val="24"/>
                <w:highlight w:val="none"/>
              </w:rPr>
              <w:t>4</w:t>
            </w:r>
          </w:p>
        </w:tc>
        <w:tc>
          <w:tcPr>
            <w:tcW w:w="987" w:type="pct"/>
            <w:vAlign w:val="center"/>
          </w:tcPr>
          <w:p w14:paraId="0359DFF1">
            <w:pPr>
              <w:spacing w:line="360" w:lineRule="exact"/>
              <w:ind w:right="-10"/>
              <w:jc w:val="center"/>
              <w:rPr>
                <w:rFonts w:hint="eastAsia" w:ascii="宋体" w:hAnsi="宋体" w:eastAsia="宋体" w:cs="宋体"/>
                <w:spacing w:val="10"/>
                <w:sz w:val="24"/>
                <w:szCs w:val="24"/>
                <w:highlight w:val="none"/>
              </w:rPr>
            </w:pPr>
            <w:r>
              <w:rPr>
                <w:rFonts w:hint="eastAsia" w:ascii="宋体" w:hAnsi="宋体" w:eastAsia="宋体" w:cs="宋体"/>
                <w:sz w:val="24"/>
                <w:szCs w:val="24"/>
                <w:highlight w:val="none"/>
              </w:rPr>
              <w:t>其他特定资格要求</w:t>
            </w:r>
          </w:p>
        </w:tc>
        <w:tc>
          <w:tcPr>
            <w:tcW w:w="2624" w:type="pct"/>
            <w:vAlign w:val="center"/>
          </w:tcPr>
          <w:p w14:paraId="111A90E7">
            <w:pPr>
              <w:spacing w:line="360" w:lineRule="exact"/>
              <w:ind w:right="-10"/>
              <w:jc w:val="left"/>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见第一章《投标邀请》</w:t>
            </w:r>
          </w:p>
        </w:tc>
        <w:tc>
          <w:tcPr>
            <w:tcW w:w="1025" w:type="pct"/>
            <w:vAlign w:val="center"/>
          </w:tcPr>
          <w:p w14:paraId="13CC1617">
            <w:pPr>
              <w:spacing w:line="360" w:lineRule="exact"/>
              <w:ind w:right="-10"/>
              <w:rPr>
                <w:rFonts w:hint="eastAsia" w:ascii="宋体" w:hAnsi="宋体" w:eastAsia="宋体" w:cs="宋体"/>
                <w:spacing w:val="10"/>
                <w:sz w:val="24"/>
                <w:szCs w:val="24"/>
                <w:highlight w:val="none"/>
              </w:rPr>
            </w:pPr>
            <w:r>
              <w:rPr>
                <w:rFonts w:hint="eastAsia" w:ascii="宋体" w:hAnsi="宋体" w:eastAsia="宋体" w:cs="宋体"/>
                <w:sz w:val="24"/>
                <w:szCs w:val="24"/>
                <w:highlight w:val="none"/>
              </w:rPr>
              <w:t>提供材料</w:t>
            </w:r>
            <w:r>
              <w:rPr>
                <w:rFonts w:hint="eastAsia" w:ascii="宋体" w:hAnsi="宋体" w:eastAsia="宋体" w:cs="宋体"/>
                <w:sz w:val="24"/>
                <w:szCs w:val="24"/>
                <w:highlight w:val="none"/>
                <w:lang w:eastAsia="zh-CN"/>
              </w:rPr>
              <w:t>原件或复印件加盖投标单位公章</w:t>
            </w:r>
            <w:r>
              <w:rPr>
                <w:rFonts w:hint="eastAsia" w:ascii="宋体" w:hAnsi="宋体" w:eastAsia="宋体" w:cs="宋体"/>
                <w:sz w:val="24"/>
                <w:szCs w:val="24"/>
                <w:highlight w:val="none"/>
              </w:rPr>
              <w:t>，应完整的体现出材料全部内容。</w:t>
            </w:r>
          </w:p>
        </w:tc>
      </w:tr>
    </w:tbl>
    <w:p w14:paraId="6BE24C6E">
      <w:pPr>
        <w:spacing w:line="360" w:lineRule="auto"/>
        <w:ind w:firstLine="435"/>
        <w:rPr>
          <w:rFonts w:hint="eastAsia" w:asciiTheme="minorEastAsia" w:hAnsiTheme="minorEastAsia" w:eastAsiaTheme="minorEastAsia"/>
          <w:sz w:val="24"/>
          <w:highlight w:val="none"/>
        </w:rPr>
      </w:pPr>
      <w:r>
        <w:rPr>
          <w:rFonts w:hint="eastAsia" w:ascii="宋体" w:hAnsi="宋体" w:eastAsia="宋体"/>
          <w:b/>
          <w:bCs/>
          <w:sz w:val="24"/>
          <w:highlight w:val="none"/>
        </w:rPr>
        <w:t>资格审查指标通过标准：</w:t>
      </w:r>
      <w:r>
        <w:rPr>
          <w:rFonts w:hint="eastAsia" w:ascii="宋体" w:hAnsi="宋体" w:eastAsia="宋体"/>
          <w:sz w:val="24"/>
          <w:highlight w:val="none"/>
        </w:rPr>
        <w:t>投标人必须通过资格审查表中的全部评审指标。</w:t>
      </w:r>
    </w:p>
    <w:p w14:paraId="37671A3A">
      <w:pP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2.2符合性审查</w:t>
      </w:r>
    </w:p>
    <w:p w14:paraId="46157C9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评标委员会对通过资格审查的投标人的投标文件进行符合性审查，以确定其是否满足招标文件的实质性要求。符合性审查表如下：</w:t>
      </w:r>
    </w:p>
    <w:tbl>
      <w:tblPr>
        <w:tblStyle w:val="25"/>
        <w:tblW w:w="5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290"/>
        <w:gridCol w:w="3944"/>
        <w:gridCol w:w="2743"/>
      </w:tblGrid>
      <w:tr w14:paraId="5010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54F00825">
            <w:pPr>
              <w:adjustRightInd w:val="0"/>
              <w:snapToGrid w:val="0"/>
              <w:spacing w:line="360" w:lineRule="exact"/>
              <w:ind w:right="-11"/>
              <w:jc w:val="center"/>
              <w:rPr>
                <w:rFonts w:hint="eastAsia" w:ascii="宋体" w:hAnsi="宋体" w:eastAsia="宋体"/>
                <w:b/>
                <w:bCs/>
                <w:sz w:val="24"/>
                <w:highlight w:val="none"/>
              </w:rPr>
            </w:pPr>
            <w:r>
              <w:rPr>
                <w:rFonts w:hint="eastAsia" w:ascii="宋体" w:hAnsi="宋体" w:eastAsia="宋体"/>
                <w:b/>
                <w:bCs/>
                <w:sz w:val="24"/>
                <w:highlight w:val="none"/>
              </w:rPr>
              <w:t>符合性审查表</w:t>
            </w:r>
          </w:p>
        </w:tc>
      </w:tr>
      <w:tr w14:paraId="4DBF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03" w:type="pct"/>
            <w:tcBorders>
              <w:bottom w:val="single" w:color="auto" w:sz="4" w:space="0"/>
            </w:tcBorders>
            <w:vAlign w:val="center"/>
          </w:tcPr>
          <w:p w14:paraId="47D0B26E">
            <w:pPr>
              <w:adjustRightInd w:val="0"/>
              <w:snapToGrid w:val="0"/>
              <w:spacing w:line="360" w:lineRule="exact"/>
              <w:ind w:right="-11"/>
              <w:jc w:val="center"/>
              <w:rPr>
                <w:rFonts w:hint="eastAsia" w:ascii="宋体" w:hAnsi="宋体" w:eastAsia="宋体"/>
                <w:sz w:val="24"/>
                <w:highlight w:val="none"/>
              </w:rPr>
            </w:pPr>
            <w:r>
              <w:rPr>
                <w:rFonts w:hint="eastAsia" w:ascii="宋体" w:hAnsi="宋体" w:eastAsia="宋体"/>
                <w:sz w:val="24"/>
                <w:highlight w:val="none"/>
              </w:rPr>
              <w:t>序号</w:t>
            </w:r>
          </w:p>
        </w:tc>
        <w:tc>
          <w:tcPr>
            <w:tcW w:w="1147" w:type="pct"/>
            <w:tcBorders>
              <w:bottom w:val="single" w:color="auto" w:sz="4" w:space="0"/>
            </w:tcBorders>
            <w:vAlign w:val="center"/>
          </w:tcPr>
          <w:p w14:paraId="4A6326A5">
            <w:pPr>
              <w:pStyle w:val="44"/>
              <w:pBdr>
                <w:bottom w:val="none" w:color="auto" w:sz="0" w:space="0"/>
              </w:pBdr>
              <w:tabs>
                <w:tab w:val="clear" w:pos="4153"/>
                <w:tab w:val="clear" w:pos="8306"/>
              </w:tabs>
              <w:snapToGrid w:val="0"/>
              <w:spacing w:line="360" w:lineRule="exact"/>
              <w:ind w:right="-11"/>
              <w:textAlignment w:val="auto"/>
              <w:rPr>
                <w:rFonts w:hint="eastAsia" w:ascii="宋体" w:hAnsi="宋体" w:eastAsia="宋体"/>
                <w:kern w:val="2"/>
                <w:highlight w:val="none"/>
              </w:rPr>
            </w:pPr>
            <w:r>
              <w:rPr>
                <w:rFonts w:hint="eastAsia" w:ascii="宋体" w:hAnsi="宋体" w:eastAsia="宋体"/>
                <w:kern w:val="2"/>
                <w:highlight w:val="none"/>
              </w:rPr>
              <w:t>审查指标</w:t>
            </w:r>
          </w:p>
        </w:tc>
        <w:tc>
          <w:tcPr>
            <w:tcW w:w="1976" w:type="pct"/>
            <w:tcBorders>
              <w:bottom w:val="single" w:color="auto" w:sz="4" w:space="0"/>
            </w:tcBorders>
            <w:vAlign w:val="center"/>
          </w:tcPr>
          <w:p w14:paraId="56752FFE">
            <w:pPr>
              <w:adjustRightInd w:val="0"/>
              <w:snapToGrid w:val="0"/>
              <w:spacing w:line="360" w:lineRule="exact"/>
              <w:ind w:right="-11"/>
              <w:jc w:val="center"/>
              <w:rPr>
                <w:rFonts w:hint="eastAsia" w:ascii="宋体" w:hAnsi="宋体" w:eastAsia="宋体"/>
                <w:sz w:val="24"/>
                <w:highlight w:val="none"/>
              </w:rPr>
            </w:pPr>
            <w:r>
              <w:rPr>
                <w:rFonts w:hint="eastAsia" w:ascii="宋体" w:hAnsi="宋体" w:eastAsia="宋体"/>
                <w:sz w:val="24"/>
                <w:highlight w:val="none"/>
              </w:rPr>
              <w:t>审查标准</w:t>
            </w:r>
          </w:p>
        </w:tc>
        <w:tc>
          <w:tcPr>
            <w:tcW w:w="1373" w:type="pct"/>
            <w:tcBorders>
              <w:bottom w:val="single" w:color="auto" w:sz="4" w:space="0"/>
            </w:tcBorders>
            <w:vAlign w:val="center"/>
          </w:tcPr>
          <w:p w14:paraId="0FB654E8">
            <w:pPr>
              <w:adjustRightInd w:val="0"/>
              <w:snapToGrid w:val="0"/>
              <w:spacing w:line="360" w:lineRule="exact"/>
              <w:ind w:right="-11"/>
              <w:jc w:val="center"/>
              <w:rPr>
                <w:rFonts w:hint="eastAsia" w:ascii="宋体" w:hAnsi="宋体" w:eastAsia="宋体"/>
                <w:sz w:val="24"/>
                <w:highlight w:val="none"/>
              </w:rPr>
            </w:pPr>
            <w:r>
              <w:rPr>
                <w:rFonts w:hint="eastAsia" w:ascii="宋体" w:hAnsi="宋体" w:eastAsia="宋体"/>
                <w:sz w:val="24"/>
                <w:highlight w:val="none"/>
              </w:rPr>
              <w:t>格式要求</w:t>
            </w:r>
          </w:p>
        </w:tc>
      </w:tr>
      <w:tr w14:paraId="236D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Align w:val="center"/>
          </w:tcPr>
          <w:p w14:paraId="69DD2346">
            <w:pPr>
              <w:adjustRightInd w:val="0"/>
              <w:snapToGrid w:val="0"/>
              <w:spacing w:line="360" w:lineRule="exact"/>
              <w:ind w:right="-11"/>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147" w:type="pct"/>
            <w:vAlign w:val="center"/>
          </w:tcPr>
          <w:p w14:paraId="44DB92B2">
            <w:pPr>
              <w:spacing w:line="360" w:lineRule="exact"/>
              <w:ind w:right="-11"/>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highlight w:val="none"/>
              </w:rPr>
              <w:t>开标一览表</w:t>
            </w:r>
          </w:p>
        </w:tc>
        <w:tc>
          <w:tcPr>
            <w:tcW w:w="1976" w:type="pct"/>
            <w:vAlign w:val="center"/>
          </w:tcPr>
          <w:p w14:paraId="5B586CF9">
            <w:pPr>
              <w:spacing w:line="360" w:lineRule="exact"/>
              <w:ind w:right="-11"/>
              <w:jc w:val="center"/>
              <w:rPr>
                <w:rFonts w:hint="eastAsia" w:asciiTheme="minorEastAsia" w:hAnsiTheme="minorEastAsia" w:eastAsiaTheme="minorEastAsia"/>
                <w:sz w:val="24"/>
                <w:szCs w:val="28"/>
                <w:highlight w:val="none"/>
                <w:lang w:eastAsia="zh-CN"/>
              </w:rPr>
            </w:pPr>
            <w:r>
              <w:rPr>
                <w:rFonts w:hint="eastAsia" w:asciiTheme="minorEastAsia" w:hAnsiTheme="minorEastAsia" w:eastAsiaTheme="minorEastAsia"/>
                <w:sz w:val="24"/>
                <w:szCs w:val="28"/>
                <w:highlight w:val="none"/>
              </w:rPr>
              <w:t>格式、填写要求符合招标文件规定并加盖投标人</w:t>
            </w:r>
            <w:r>
              <w:rPr>
                <w:rFonts w:hint="eastAsia" w:asciiTheme="minorEastAsia" w:hAnsiTheme="minorEastAsia" w:eastAsiaTheme="minorEastAsia"/>
                <w:sz w:val="24"/>
                <w:szCs w:val="28"/>
                <w:highlight w:val="none"/>
                <w:lang w:eastAsia="zh-CN"/>
              </w:rPr>
              <w:t>公章</w:t>
            </w:r>
          </w:p>
        </w:tc>
        <w:tc>
          <w:tcPr>
            <w:tcW w:w="1373" w:type="pct"/>
            <w:vAlign w:val="center"/>
          </w:tcPr>
          <w:p w14:paraId="6004E883">
            <w:pPr>
              <w:adjustRightInd w:val="0"/>
              <w:snapToGrid w:val="0"/>
              <w:spacing w:line="360" w:lineRule="exact"/>
              <w:ind w:right="-11"/>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431C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Align w:val="center"/>
          </w:tcPr>
          <w:p w14:paraId="76048FF1">
            <w:pPr>
              <w:adjustRightInd w:val="0"/>
              <w:snapToGrid w:val="0"/>
              <w:spacing w:line="360" w:lineRule="exact"/>
              <w:ind w:right="-11"/>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147" w:type="pct"/>
            <w:vAlign w:val="center"/>
          </w:tcPr>
          <w:p w14:paraId="0BB57079">
            <w:pPr>
              <w:spacing w:line="360" w:lineRule="exact"/>
              <w:ind w:right="-11"/>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投标函</w:t>
            </w:r>
          </w:p>
        </w:tc>
        <w:tc>
          <w:tcPr>
            <w:tcW w:w="1976" w:type="pct"/>
            <w:vAlign w:val="center"/>
          </w:tcPr>
          <w:p w14:paraId="15567D5E">
            <w:pPr>
              <w:spacing w:line="360" w:lineRule="exact"/>
              <w:ind w:right="-11"/>
              <w:jc w:val="center"/>
              <w:rPr>
                <w:rFonts w:hint="eastAsia" w:asciiTheme="minorEastAsia" w:hAnsiTheme="minorEastAsia" w:eastAsiaTheme="minorEastAsia"/>
                <w:sz w:val="24"/>
                <w:szCs w:val="28"/>
                <w:highlight w:val="none"/>
                <w:lang w:eastAsia="zh-CN"/>
              </w:rPr>
            </w:pPr>
            <w:r>
              <w:rPr>
                <w:rFonts w:hint="eastAsia" w:asciiTheme="minorEastAsia" w:hAnsiTheme="minorEastAsia" w:eastAsiaTheme="minorEastAsia"/>
                <w:sz w:val="24"/>
                <w:szCs w:val="28"/>
                <w:highlight w:val="none"/>
              </w:rPr>
              <w:t>格式、填写要求符合招标文件规定并加盖投标人</w:t>
            </w:r>
            <w:r>
              <w:rPr>
                <w:rFonts w:hint="eastAsia" w:asciiTheme="minorEastAsia" w:hAnsiTheme="minorEastAsia" w:eastAsiaTheme="minorEastAsia"/>
                <w:sz w:val="24"/>
                <w:szCs w:val="28"/>
                <w:highlight w:val="none"/>
                <w:lang w:eastAsia="zh-CN"/>
              </w:rPr>
              <w:t>公章</w:t>
            </w:r>
          </w:p>
        </w:tc>
        <w:tc>
          <w:tcPr>
            <w:tcW w:w="1373" w:type="pct"/>
            <w:vAlign w:val="center"/>
          </w:tcPr>
          <w:p w14:paraId="185D0395">
            <w:pPr>
              <w:adjustRightInd w:val="0"/>
              <w:snapToGrid w:val="0"/>
              <w:spacing w:line="360" w:lineRule="exact"/>
              <w:ind w:right="-11"/>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0160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Align w:val="center"/>
          </w:tcPr>
          <w:p w14:paraId="76B81FD4">
            <w:pPr>
              <w:adjustRightInd w:val="0"/>
              <w:snapToGrid w:val="0"/>
              <w:spacing w:line="360" w:lineRule="exact"/>
              <w:ind w:right="-11"/>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1147" w:type="pct"/>
            <w:vAlign w:val="center"/>
          </w:tcPr>
          <w:p w14:paraId="58352A8E">
            <w:pPr>
              <w:spacing w:line="360" w:lineRule="exact"/>
              <w:ind w:right="-11"/>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授权书</w:t>
            </w:r>
          </w:p>
        </w:tc>
        <w:tc>
          <w:tcPr>
            <w:tcW w:w="1976" w:type="pct"/>
            <w:vAlign w:val="center"/>
          </w:tcPr>
          <w:p w14:paraId="2DBB34C6">
            <w:pPr>
              <w:spacing w:line="360" w:lineRule="exact"/>
              <w:ind w:right="-11"/>
              <w:jc w:val="center"/>
              <w:rPr>
                <w:rFonts w:hint="eastAsia" w:asciiTheme="minorEastAsia" w:hAnsiTheme="minorEastAsia" w:eastAsiaTheme="minorEastAsia"/>
                <w:sz w:val="24"/>
                <w:szCs w:val="28"/>
                <w:highlight w:val="none"/>
                <w:lang w:eastAsia="zh-CN"/>
              </w:rPr>
            </w:pPr>
            <w:r>
              <w:rPr>
                <w:rFonts w:hint="eastAsia" w:asciiTheme="minorEastAsia" w:hAnsiTheme="minorEastAsia" w:eastAsiaTheme="minorEastAsia"/>
                <w:sz w:val="24"/>
                <w:szCs w:val="28"/>
                <w:highlight w:val="none"/>
              </w:rPr>
              <w:t>格式、填写要求符合招标文件规定并加盖投标人</w:t>
            </w:r>
            <w:r>
              <w:rPr>
                <w:rFonts w:hint="eastAsia" w:asciiTheme="minorEastAsia" w:hAnsiTheme="minorEastAsia" w:eastAsiaTheme="minorEastAsia"/>
                <w:sz w:val="24"/>
                <w:szCs w:val="28"/>
                <w:highlight w:val="none"/>
                <w:lang w:eastAsia="zh-CN"/>
              </w:rPr>
              <w:t>公章</w:t>
            </w:r>
          </w:p>
        </w:tc>
        <w:tc>
          <w:tcPr>
            <w:tcW w:w="1373" w:type="pct"/>
            <w:vAlign w:val="center"/>
          </w:tcPr>
          <w:p w14:paraId="06B078AD">
            <w:pPr>
              <w:adjustRightInd w:val="0"/>
              <w:snapToGrid w:val="0"/>
              <w:spacing w:line="360" w:lineRule="exact"/>
              <w:ind w:right="-11"/>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法定代表人参加投标的无需此件，提供身份证明即可。详见第六章投标文件格式。</w:t>
            </w:r>
          </w:p>
        </w:tc>
      </w:tr>
      <w:tr w14:paraId="56F4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Align w:val="center"/>
          </w:tcPr>
          <w:p w14:paraId="422DB1FB">
            <w:pPr>
              <w:adjustRightInd w:val="0"/>
              <w:snapToGrid w:val="0"/>
              <w:spacing w:line="360" w:lineRule="exact"/>
              <w:ind w:right="-11"/>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147" w:type="pct"/>
            <w:vAlign w:val="center"/>
          </w:tcPr>
          <w:p w14:paraId="6CE727E9">
            <w:pPr>
              <w:spacing w:line="360" w:lineRule="exact"/>
              <w:ind w:right="-11"/>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投标报价</w:t>
            </w:r>
          </w:p>
        </w:tc>
        <w:tc>
          <w:tcPr>
            <w:tcW w:w="1976" w:type="pct"/>
            <w:vAlign w:val="center"/>
          </w:tcPr>
          <w:p w14:paraId="5706E772">
            <w:pPr>
              <w:spacing w:line="360" w:lineRule="exact"/>
              <w:ind w:right="-11"/>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w:t>
            </w:r>
            <w:r>
              <w:rPr>
                <w:rFonts w:hint="eastAsia" w:asciiTheme="minorEastAsia" w:hAnsiTheme="minorEastAsia" w:eastAsiaTheme="minorEastAsia"/>
                <w:sz w:val="24"/>
                <w:highlight w:val="none"/>
              </w:rPr>
              <w:t>招标文件投标人须知正文第9条要求</w:t>
            </w:r>
          </w:p>
        </w:tc>
        <w:tc>
          <w:tcPr>
            <w:tcW w:w="1373" w:type="pct"/>
            <w:vAlign w:val="center"/>
          </w:tcPr>
          <w:p w14:paraId="31E348A9">
            <w:pPr>
              <w:adjustRightInd w:val="0"/>
              <w:snapToGrid w:val="0"/>
              <w:spacing w:line="360" w:lineRule="exact"/>
              <w:ind w:right="-11"/>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68C2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Align w:val="center"/>
          </w:tcPr>
          <w:p w14:paraId="2C215A4F">
            <w:pPr>
              <w:adjustRightInd w:val="0"/>
              <w:snapToGrid w:val="0"/>
              <w:spacing w:line="360" w:lineRule="exact"/>
              <w:ind w:right="-11"/>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1147" w:type="pct"/>
            <w:vAlign w:val="center"/>
          </w:tcPr>
          <w:p w14:paraId="3914F071">
            <w:pPr>
              <w:spacing w:line="360" w:lineRule="exact"/>
              <w:ind w:right="-11"/>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商务响应情况</w:t>
            </w:r>
          </w:p>
        </w:tc>
        <w:tc>
          <w:tcPr>
            <w:tcW w:w="1976" w:type="pct"/>
            <w:vAlign w:val="center"/>
          </w:tcPr>
          <w:p w14:paraId="5A16C2E7">
            <w:pPr>
              <w:spacing w:line="360" w:lineRule="exact"/>
              <w:ind w:right="-11"/>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符合招标文件采购需求中对付款方式、供货及安装期限、供货及安装地点、免费质保期等实质性要求</w:t>
            </w:r>
          </w:p>
        </w:tc>
        <w:tc>
          <w:tcPr>
            <w:tcW w:w="1373" w:type="pct"/>
            <w:vAlign w:val="center"/>
          </w:tcPr>
          <w:p w14:paraId="4C7B8649">
            <w:pPr>
              <w:adjustRightInd w:val="0"/>
              <w:snapToGrid w:val="0"/>
              <w:spacing w:line="360" w:lineRule="exact"/>
              <w:ind w:right="-11"/>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7B8A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Align w:val="center"/>
          </w:tcPr>
          <w:p w14:paraId="629F8A6D">
            <w:pPr>
              <w:adjustRightInd w:val="0"/>
              <w:snapToGrid w:val="0"/>
              <w:spacing w:line="360" w:lineRule="exact"/>
              <w:ind w:right="-11"/>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p>
        </w:tc>
        <w:tc>
          <w:tcPr>
            <w:tcW w:w="1147" w:type="pct"/>
            <w:vAlign w:val="center"/>
          </w:tcPr>
          <w:p w14:paraId="0983F538">
            <w:pPr>
              <w:spacing w:line="360" w:lineRule="exact"/>
              <w:ind w:right="-11"/>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技术响应情况</w:t>
            </w:r>
          </w:p>
        </w:tc>
        <w:tc>
          <w:tcPr>
            <w:tcW w:w="1976" w:type="pct"/>
            <w:vAlign w:val="center"/>
          </w:tcPr>
          <w:p w14:paraId="43170204">
            <w:pPr>
              <w:spacing w:line="360" w:lineRule="exact"/>
              <w:ind w:right="-11"/>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符合招标文件采购需求中货物技术参数等实质性要求（允许偏离除外）</w:t>
            </w:r>
          </w:p>
        </w:tc>
        <w:tc>
          <w:tcPr>
            <w:tcW w:w="1373" w:type="pct"/>
            <w:vAlign w:val="center"/>
          </w:tcPr>
          <w:p w14:paraId="050C5D49">
            <w:pPr>
              <w:adjustRightInd w:val="0"/>
              <w:snapToGrid w:val="0"/>
              <w:spacing w:line="360" w:lineRule="exact"/>
              <w:ind w:right="-11"/>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5682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Align w:val="center"/>
          </w:tcPr>
          <w:p w14:paraId="3486C30A">
            <w:pPr>
              <w:adjustRightInd w:val="0"/>
              <w:snapToGrid w:val="0"/>
              <w:spacing w:line="360" w:lineRule="exact"/>
              <w:ind w:right="-11"/>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p>
        </w:tc>
        <w:tc>
          <w:tcPr>
            <w:tcW w:w="1147" w:type="pct"/>
            <w:vAlign w:val="center"/>
          </w:tcPr>
          <w:p w14:paraId="115A6251">
            <w:pPr>
              <w:spacing w:line="360" w:lineRule="exact"/>
              <w:ind w:right="-11"/>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其他要求</w:t>
            </w:r>
          </w:p>
        </w:tc>
        <w:tc>
          <w:tcPr>
            <w:tcW w:w="1976" w:type="pct"/>
            <w:vAlign w:val="center"/>
          </w:tcPr>
          <w:p w14:paraId="6BC13954">
            <w:pPr>
              <w:spacing w:line="360" w:lineRule="exact"/>
              <w:ind w:right="-11"/>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符合法律、行政法规规定的其他条件或招标文件列明的其他实质性要求</w:t>
            </w:r>
          </w:p>
        </w:tc>
        <w:tc>
          <w:tcPr>
            <w:tcW w:w="1373" w:type="pct"/>
            <w:vAlign w:val="center"/>
          </w:tcPr>
          <w:p w14:paraId="5AD5D8C5">
            <w:pPr>
              <w:adjustRightInd w:val="0"/>
              <w:snapToGrid w:val="0"/>
              <w:spacing w:line="360" w:lineRule="exact"/>
              <w:ind w:right="-11"/>
              <w:jc w:val="center"/>
              <w:rPr>
                <w:rFonts w:hint="eastAsia" w:asciiTheme="minorEastAsia" w:hAnsiTheme="minorEastAsia" w:eastAsiaTheme="minorEastAsia"/>
                <w:sz w:val="24"/>
                <w:highlight w:val="none"/>
              </w:rPr>
            </w:pPr>
          </w:p>
        </w:tc>
      </w:tr>
    </w:tbl>
    <w:p w14:paraId="3B6940B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b/>
          <w:bCs/>
          <w:sz w:val="24"/>
          <w:highlight w:val="none"/>
        </w:rPr>
        <w:t>符合性审查指标通过标准：</w:t>
      </w:r>
      <w:r>
        <w:rPr>
          <w:rFonts w:hint="eastAsia" w:asciiTheme="minorEastAsia" w:hAnsiTheme="minorEastAsia" w:eastAsiaTheme="minorEastAsia"/>
          <w:sz w:val="24"/>
          <w:highlight w:val="none"/>
        </w:rPr>
        <w:t>投标人必须通过符合性审查表中的全部评审指标。</w:t>
      </w:r>
    </w:p>
    <w:p w14:paraId="77D65A1A">
      <w:pP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2.3详细审查</w:t>
      </w:r>
    </w:p>
    <w:p w14:paraId="497C563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.3.1</w:t>
      </w:r>
      <w:r>
        <w:rPr>
          <w:rFonts w:hint="eastAsia" w:asciiTheme="minorEastAsia" w:hAnsiTheme="minorEastAsia" w:eastAsiaTheme="minorEastAsia"/>
          <w:sz w:val="24"/>
          <w:highlight w:val="none"/>
        </w:rPr>
        <w:t>评标委员会按照下表对投标文件进行详细审查和评分。</w:t>
      </w:r>
    </w:p>
    <w:p w14:paraId="075C13B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.3.2</w:t>
      </w:r>
      <w:r>
        <w:rPr>
          <w:rFonts w:hint="eastAsia" w:asciiTheme="minorEastAsia" w:hAnsiTheme="minorEastAsia" w:eastAsiaTheme="minorEastAsia"/>
          <w:sz w:val="24"/>
          <w:highlight w:val="none"/>
        </w:rPr>
        <w:t>本项目综合评分满分为1</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分，其中：技术资信分值占总分值的权重为</w:t>
      </w:r>
      <w:r>
        <w:rPr>
          <w:rFonts w:hint="eastAsia" w:asciiTheme="minorEastAsia" w:hAnsiTheme="minorEastAsia" w:eastAsiaTheme="minorEastAsia"/>
          <w:sz w:val="24"/>
          <w:highlight w:val="none"/>
          <w:u w:val="single"/>
        </w:rPr>
        <w:t>70</w:t>
      </w:r>
      <w:r>
        <w:rPr>
          <w:rFonts w:asciiTheme="minorEastAsia" w:hAnsiTheme="minorEastAsia" w:eastAsiaTheme="minorEastAsia"/>
          <w:sz w:val="24"/>
          <w:highlight w:val="none"/>
        </w:rPr>
        <w:t>%，价格分值占总分值的权重为</w:t>
      </w:r>
      <w:r>
        <w:rPr>
          <w:rFonts w:hint="eastAsia" w:asciiTheme="minorEastAsia" w:hAnsiTheme="minorEastAsia" w:eastAsiaTheme="minorEastAsia"/>
          <w:sz w:val="24"/>
          <w:highlight w:val="none"/>
          <w:u w:val="single"/>
        </w:rPr>
        <w:t>30</w:t>
      </w:r>
      <w:r>
        <w:rPr>
          <w:rFonts w:asciiTheme="minorEastAsia" w:hAnsiTheme="minorEastAsia" w:eastAsiaTheme="minorEastAsia"/>
          <w:sz w:val="24"/>
          <w:highlight w:val="none"/>
        </w:rPr>
        <w:t>%。具体评分细则如下：</w:t>
      </w:r>
    </w:p>
    <w:tbl>
      <w:tblPr>
        <w:tblStyle w:val="25"/>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47"/>
        <w:gridCol w:w="6510"/>
        <w:gridCol w:w="889"/>
      </w:tblGrid>
      <w:tr w14:paraId="5E1D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14:paraId="5F4893B9">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757" w:type="pct"/>
            <w:tcBorders>
              <w:top w:val="single" w:color="auto" w:sz="4" w:space="0"/>
              <w:left w:val="single" w:color="auto" w:sz="4" w:space="0"/>
              <w:bottom w:val="single" w:color="auto" w:sz="4" w:space="0"/>
              <w:right w:val="single" w:color="auto" w:sz="4" w:space="0"/>
            </w:tcBorders>
            <w:vAlign w:val="center"/>
          </w:tcPr>
          <w:p w14:paraId="5CF7B09D">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评分内容</w:t>
            </w:r>
          </w:p>
        </w:tc>
        <w:tc>
          <w:tcPr>
            <w:tcW w:w="3185" w:type="pct"/>
            <w:tcBorders>
              <w:top w:val="single" w:color="auto" w:sz="4" w:space="0"/>
              <w:left w:val="single" w:color="auto" w:sz="4" w:space="0"/>
              <w:bottom w:val="single" w:color="auto" w:sz="4" w:space="0"/>
              <w:right w:val="single" w:color="auto" w:sz="4" w:space="0"/>
            </w:tcBorders>
            <w:vAlign w:val="center"/>
          </w:tcPr>
          <w:p w14:paraId="7A332005">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435" w:type="pct"/>
            <w:tcBorders>
              <w:top w:val="single" w:color="auto" w:sz="4" w:space="0"/>
              <w:left w:val="single" w:color="auto" w:sz="4" w:space="0"/>
              <w:bottom w:val="single" w:color="auto" w:sz="4" w:space="0"/>
              <w:right w:val="single" w:color="auto" w:sz="4" w:space="0"/>
            </w:tcBorders>
            <w:vAlign w:val="center"/>
          </w:tcPr>
          <w:p w14:paraId="147C204E">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分值范围</w:t>
            </w:r>
          </w:p>
        </w:tc>
      </w:tr>
      <w:tr w14:paraId="14C6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pct"/>
            <w:vMerge w:val="restart"/>
            <w:tcBorders>
              <w:top w:val="single" w:color="auto" w:sz="4" w:space="0"/>
              <w:left w:val="single" w:color="auto" w:sz="4" w:space="0"/>
              <w:right w:val="single" w:color="auto" w:sz="4" w:space="0"/>
            </w:tcBorders>
            <w:vAlign w:val="center"/>
          </w:tcPr>
          <w:p w14:paraId="67809507">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技术资信分</w:t>
            </w:r>
          </w:p>
          <w:p w14:paraId="10459C95">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70</w:t>
            </w:r>
            <w:r>
              <w:rPr>
                <w:rFonts w:hint="eastAsia" w:ascii="宋体" w:hAnsi="宋体" w:eastAsia="宋体" w:cs="宋体"/>
                <w:sz w:val="24"/>
                <w:szCs w:val="24"/>
                <w:highlight w:val="none"/>
              </w:rPr>
              <w:t>分）</w:t>
            </w:r>
          </w:p>
        </w:tc>
        <w:tc>
          <w:tcPr>
            <w:tcW w:w="757" w:type="pct"/>
            <w:tcBorders>
              <w:top w:val="single" w:color="auto" w:sz="4" w:space="0"/>
              <w:left w:val="single" w:color="auto" w:sz="4" w:space="0"/>
              <w:bottom w:val="single" w:color="auto" w:sz="4" w:space="0"/>
              <w:right w:val="single" w:color="auto" w:sz="4" w:space="0"/>
            </w:tcBorders>
            <w:vAlign w:val="center"/>
          </w:tcPr>
          <w:p w14:paraId="418A637C">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sz w:val="24"/>
                <w:szCs w:val="24"/>
                <w:highlight w:val="none"/>
              </w:rPr>
            </w:pPr>
            <w:r>
              <w:rPr>
                <w:rFonts w:hint="eastAsia" w:ascii="宋体" w:hAnsi="宋体" w:eastAsia="宋体" w:cs="宋体"/>
                <w:color w:val="000000"/>
                <w:kern w:val="0"/>
                <w:sz w:val="24"/>
                <w:szCs w:val="24"/>
                <w:highlight w:val="none"/>
                <w:lang w:bidi="ar"/>
              </w:rPr>
              <w:t>投标人</w:t>
            </w:r>
            <w:r>
              <w:rPr>
                <w:rFonts w:hint="eastAsia" w:ascii="宋体" w:hAnsi="宋体" w:eastAsia="宋体" w:cs="宋体"/>
                <w:sz w:val="24"/>
                <w:szCs w:val="24"/>
                <w:highlight w:val="none"/>
              </w:rPr>
              <w:t>业绩</w:t>
            </w:r>
          </w:p>
        </w:tc>
        <w:tc>
          <w:tcPr>
            <w:tcW w:w="3185" w:type="pct"/>
            <w:tcBorders>
              <w:top w:val="single" w:color="auto" w:sz="4" w:space="0"/>
              <w:left w:val="single" w:color="auto" w:sz="4" w:space="0"/>
              <w:bottom w:val="single" w:color="auto" w:sz="4" w:space="0"/>
              <w:right w:val="single" w:color="auto" w:sz="4" w:space="0"/>
            </w:tcBorders>
            <w:vAlign w:val="center"/>
          </w:tcPr>
          <w:p w14:paraId="7349F1AB">
            <w:pPr>
              <w:keepNext w:val="0"/>
              <w:keepLines w:val="0"/>
              <w:pageBreakBefore w:val="0"/>
              <w:widowControl/>
              <w:kinsoku/>
              <w:wordWrap/>
              <w:overflowPunct/>
              <w:topLinePunct w:val="0"/>
              <w:autoSpaceDE/>
              <w:autoSpaceDN/>
              <w:bidi w:val="0"/>
              <w:adjustRightInd/>
              <w:snapToGrid/>
              <w:spacing w:line="440" w:lineRule="exact"/>
              <w:ind w:firstLine="0"/>
              <w:jc w:val="left"/>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自2021年1月1日至投标截止时间前，</w:t>
            </w:r>
            <w:r>
              <w:rPr>
                <w:rFonts w:hint="eastAsia" w:ascii="宋体" w:hAnsi="宋体" w:eastAsia="宋体" w:cs="宋体"/>
                <w:color w:val="000000"/>
                <w:kern w:val="0"/>
                <w:sz w:val="24"/>
                <w:szCs w:val="24"/>
                <w:highlight w:val="none"/>
                <w:lang w:val="en-US" w:eastAsia="zh-CN" w:bidi="ar"/>
              </w:rPr>
              <w:t>投标人具有含乙肝五项试剂供货项目业绩的，每提供一个得2.5分，最高得5分。</w:t>
            </w:r>
          </w:p>
          <w:p w14:paraId="4635102E">
            <w:pPr>
              <w:keepNext w:val="0"/>
              <w:keepLines w:val="0"/>
              <w:pageBreakBefore w:val="0"/>
              <w:widowControl/>
              <w:kinsoku/>
              <w:wordWrap/>
              <w:overflowPunct/>
              <w:topLinePunct w:val="0"/>
              <w:autoSpaceDE/>
              <w:autoSpaceDN/>
              <w:bidi w:val="0"/>
              <w:adjustRightInd/>
              <w:snapToGrid/>
              <w:spacing w:line="440" w:lineRule="exact"/>
              <w:ind w:firstLine="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b/>
                <w:bCs/>
                <w:sz w:val="24"/>
                <w:szCs w:val="24"/>
                <w:highlight w:val="none"/>
                <w:lang w:val="en-US" w:eastAsia="zh-CN"/>
              </w:rPr>
              <w:t>1.投标人如为制造商需提供制造商业绩合同，投标人如为代理商提供制造商或代理商业绩合同均可</w:t>
            </w:r>
            <w:r>
              <w:rPr>
                <w:rFonts w:hint="eastAsia" w:ascii="宋体" w:hAnsi="宋体" w:eastAsia="宋体" w:cs="宋体"/>
                <w:b/>
                <w:bCs/>
                <w:sz w:val="24"/>
                <w:szCs w:val="24"/>
                <w:highlight w:val="none"/>
              </w:rPr>
              <w:t>。</w:t>
            </w:r>
          </w:p>
          <w:p w14:paraId="01474A22">
            <w:pPr>
              <w:keepNext w:val="0"/>
              <w:keepLines w:val="0"/>
              <w:pageBreakBefore w:val="0"/>
              <w:widowControl/>
              <w:kinsoku/>
              <w:wordWrap/>
              <w:overflowPunct/>
              <w:topLinePunct w:val="0"/>
              <w:autoSpaceDE/>
              <w:autoSpaceDN/>
              <w:bidi w:val="0"/>
              <w:adjustRightInd/>
              <w:snapToGrid/>
              <w:spacing w:line="440" w:lineRule="exact"/>
              <w:ind w:firstLine="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2、投标文件中须同时提供业绩合同，合同中必须体现签订时间、供货内容，若合同材料中无法体上述关键评审因素的，须同时提供合同甲方（或采购方）盖章的证明材料，否则该项业绩视为无效评分业绩。</w:t>
            </w:r>
          </w:p>
          <w:p w14:paraId="5110CDDF">
            <w:pPr>
              <w:keepNext w:val="0"/>
              <w:keepLines w:val="0"/>
              <w:pageBreakBefore w:val="0"/>
              <w:widowControl/>
              <w:kinsoku/>
              <w:wordWrap/>
              <w:overflowPunct/>
              <w:topLinePunct w:val="0"/>
              <w:autoSpaceDE/>
              <w:autoSpaceDN/>
              <w:bidi w:val="0"/>
              <w:adjustRightInd/>
              <w:snapToGrid/>
              <w:spacing w:line="440" w:lineRule="exact"/>
              <w:ind w:firstLine="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3.同一份合同仅作一次评审依据、不重复计分使用。</w:t>
            </w:r>
          </w:p>
        </w:tc>
        <w:tc>
          <w:tcPr>
            <w:tcW w:w="435" w:type="pct"/>
            <w:tcBorders>
              <w:top w:val="single" w:color="auto" w:sz="4" w:space="0"/>
              <w:left w:val="single" w:color="auto" w:sz="4" w:space="0"/>
              <w:bottom w:val="single" w:color="auto" w:sz="4" w:space="0"/>
              <w:right w:val="single" w:color="auto" w:sz="4" w:space="0"/>
            </w:tcBorders>
            <w:vAlign w:val="center"/>
          </w:tcPr>
          <w:p w14:paraId="216435E1">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分</w:t>
            </w:r>
          </w:p>
        </w:tc>
      </w:tr>
      <w:tr w14:paraId="3CCF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pct"/>
            <w:vMerge w:val="continue"/>
            <w:tcBorders>
              <w:left w:val="single" w:color="auto" w:sz="4" w:space="0"/>
              <w:right w:val="single" w:color="auto" w:sz="4" w:space="0"/>
            </w:tcBorders>
            <w:vAlign w:val="center"/>
          </w:tcPr>
          <w:p w14:paraId="1F394651">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p>
        </w:tc>
        <w:tc>
          <w:tcPr>
            <w:tcW w:w="757" w:type="pct"/>
            <w:tcBorders>
              <w:top w:val="single" w:color="auto" w:sz="4" w:space="0"/>
              <w:left w:val="single" w:color="auto" w:sz="4" w:space="0"/>
              <w:bottom w:val="single" w:color="auto" w:sz="4" w:space="0"/>
              <w:right w:val="single" w:color="auto" w:sz="4" w:space="0"/>
            </w:tcBorders>
            <w:vAlign w:val="center"/>
          </w:tcPr>
          <w:p w14:paraId="6A598598">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技术参数响应</w:t>
            </w:r>
          </w:p>
        </w:tc>
        <w:tc>
          <w:tcPr>
            <w:tcW w:w="3185" w:type="pct"/>
            <w:tcBorders>
              <w:top w:val="single" w:color="auto" w:sz="4" w:space="0"/>
              <w:left w:val="single" w:color="auto" w:sz="4" w:space="0"/>
              <w:bottom w:val="single" w:color="auto" w:sz="4" w:space="0"/>
              <w:right w:val="single" w:color="auto" w:sz="4" w:space="0"/>
            </w:tcBorders>
            <w:vAlign w:val="center"/>
          </w:tcPr>
          <w:p w14:paraId="7510C157">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所投产品完全满足或优于招标文件中“采购需求及技术参数要求”的，得49分；</w:t>
            </w:r>
          </w:p>
          <w:p w14:paraId="1BF7285F">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1、标注“★”参数为关键技术指标，须完全满足，不满足或负偏离按无效标处理。</w:t>
            </w:r>
          </w:p>
          <w:p w14:paraId="5FD5C8CD">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2、标注“▲”的参数每满足一项指标，得2分，共11项，满分22分；</w:t>
            </w:r>
          </w:p>
          <w:p w14:paraId="566F8972">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3、未标注“★”项、“▲”项，每满足或优于一项指标，得1分，共27项，共计27分。</w:t>
            </w:r>
          </w:p>
          <w:p w14:paraId="1F228D13">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注：参数证明材料应以制造商公开发布的印刷资料或产品说明书或产品检验报告或参数明确要求的证明材料等予以证明，否则不得分。</w:t>
            </w:r>
          </w:p>
        </w:tc>
        <w:tc>
          <w:tcPr>
            <w:tcW w:w="435" w:type="pct"/>
            <w:tcBorders>
              <w:top w:val="single" w:color="auto" w:sz="4" w:space="0"/>
              <w:left w:val="single" w:color="auto" w:sz="4" w:space="0"/>
              <w:bottom w:val="single" w:color="auto" w:sz="4" w:space="0"/>
              <w:right w:val="single" w:color="auto" w:sz="4" w:space="0"/>
            </w:tcBorders>
            <w:vAlign w:val="center"/>
          </w:tcPr>
          <w:p w14:paraId="3C418B31">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49</w:t>
            </w:r>
            <w:r>
              <w:rPr>
                <w:rFonts w:hint="eastAsia" w:ascii="宋体" w:hAnsi="宋体" w:eastAsia="宋体" w:cs="宋体"/>
                <w:b/>
                <w:bCs/>
                <w:sz w:val="24"/>
                <w:szCs w:val="24"/>
                <w:highlight w:val="none"/>
              </w:rPr>
              <w:t>分</w:t>
            </w:r>
          </w:p>
        </w:tc>
      </w:tr>
      <w:tr w14:paraId="1526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pct"/>
            <w:vMerge w:val="continue"/>
            <w:tcBorders>
              <w:left w:val="single" w:color="auto" w:sz="4" w:space="0"/>
              <w:right w:val="single" w:color="auto" w:sz="4" w:space="0"/>
            </w:tcBorders>
            <w:vAlign w:val="center"/>
          </w:tcPr>
          <w:p w14:paraId="0CD41F54">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p>
        </w:tc>
        <w:tc>
          <w:tcPr>
            <w:tcW w:w="757" w:type="pct"/>
            <w:tcBorders>
              <w:top w:val="single" w:color="auto" w:sz="4" w:space="0"/>
              <w:left w:val="single" w:color="auto" w:sz="4" w:space="0"/>
              <w:bottom w:val="single" w:color="auto" w:sz="4" w:space="0"/>
              <w:right w:val="single" w:color="auto" w:sz="4" w:space="0"/>
            </w:tcBorders>
            <w:vAlign w:val="center"/>
          </w:tcPr>
          <w:p w14:paraId="7F599360">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供货方案</w:t>
            </w:r>
          </w:p>
        </w:tc>
        <w:tc>
          <w:tcPr>
            <w:tcW w:w="3185" w:type="pct"/>
            <w:tcBorders>
              <w:top w:val="single" w:color="auto" w:sz="4" w:space="0"/>
              <w:left w:val="single" w:color="auto" w:sz="4" w:space="0"/>
              <w:bottom w:val="single" w:color="auto" w:sz="4" w:space="0"/>
              <w:right w:val="single" w:color="auto" w:sz="4" w:space="0"/>
            </w:tcBorders>
            <w:vAlign w:val="center"/>
          </w:tcPr>
          <w:p w14:paraId="3EEC6907">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1、评标委员会根据招标文件要求及投标人提供的配送方式、配送计划，进行综合评分：</w:t>
            </w:r>
            <w:r>
              <w:rPr>
                <w:rFonts w:hint="eastAsia" w:ascii="宋体" w:hAnsi="宋体" w:eastAsia="宋体" w:cs="宋体"/>
                <w:sz w:val="24"/>
                <w:szCs w:val="24"/>
                <w:highlight w:val="none"/>
                <w:lang w:val="en-US" w:eastAsia="zh-CN"/>
              </w:rPr>
              <w:t xml:space="preserve"> </w:t>
            </w:r>
          </w:p>
          <w:p w14:paraId="7F57586E">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（1）对本项目特点和难点理解准确，配送方式、配送计划实用性强，时间节点安排可行性强，整体标准高于项目需求的得4分； </w:t>
            </w:r>
          </w:p>
          <w:p w14:paraId="53594FC0">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（2）对本项目特点和难点理解基本准确，配送方式、配送计划具有可行性，整体标准满足项目需求的得3 分； </w:t>
            </w:r>
          </w:p>
          <w:p w14:paraId="53C5BBA3">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（3）对本项目特点和难点理解有待提升，配送方式、配送计划基本适合本项目需求的得1分； </w:t>
            </w:r>
          </w:p>
          <w:p w14:paraId="0F06B809">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（4）方案不可行或者未提供得0分。 </w:t>
            </w:r>
          </w:p>
          <w:p w14:paraId="08381BD1">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2、评标委员会根据招标文件要求及投标人提供的货物到达后的处置方案、损坏货物的处置办法，进行综合评分：</w:t>
            </w:r>
            <w:r>
              <w:rPr>
                <w:rFonts w:hint="eastAsia" w:ascii="宋体" w:hAnsi="宋体" w:eastAsia="宋体" w:cs="宋体"/>
                <w:sz w:val="24"/>
                <w:szCs w:val="24"/>
                <w:highlight w:val="none"/>
                <w:lang w:val="en-US" w:eastAsia="zh-CN"/>
              </w:rPr>
              <w:t xml:space="preserve"> </w:t>
            </w:r>
          </w:p>
          <w:p w14:paraId="31665A84">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（1）货物到达后的处置方案、损坏货物的处置办法，要点突出、针对性强，内容完整详实，表述清晰，与本项目实际需求适应度高，利于项目实施的得4分； </w:t>
            </w:r>
          </w:p>
          <w:p w14:paraId="65936075">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（2）货物到达后的处置方案、损坏货物的处置办法，有一定针对性，内容完整，与本项目实际需求有适应度，符合项目实施要求的得3分；</w:t>
            </w:r>
          </w:p>
          <w:p w14:paraId="37C496B0">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（3）货物到达后的处置方案、损坏货物的处置办法，要点突出不够明显，针对性不够强，具体细节有待完善的得1分；</w:t>
            </w:r>
          </w:p>
          <w:p w14:paraId="73C0A860">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（4）货物到达后的处置方案、损坏货物的处置办法不可行或者未提供的得0分。</w:t>
            </w:r>
          </w:p>
        </w:tc>
        <w:tc>
          <w:tcPr>
            <w:tcW w:w="435" w:type="pct"/>
            <w:tcBorders>
              <w:top w:val="single" w:color="auto" w:sz="4" w:space="0"/>
              <w:left w:val="single" w:color="auto" w:sz="4" w:space="0"/>
              <w:bottom w:val="single" w:color="auto" w:sz="4" w:space="0"/>
              <w:right w:val="single" w:color="auto" w:sz="4" w:space="0"/>
            </w:tcBorders>
            <w:vAlign w:val="center"/>
          </w:tcPr>
          <w:p w14:paraId="2092867A">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分</w:t>
            </w:r>
          </w:p>
        </w:tc>
      </w:tr>
      <w:tr w14:paraId="220A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pct"/>
            <w:vMerge w:val="continue"/>
            <w:tcBorders>
              <w:left w:val="single" w:color="auto" w:sz="4" w:space="0"/>
              <w:right w:val="single" w:color="auto" w:sz="4" w:space="0"/>
            </w:tcBorders>
            <w:vAlign w:val="center"/>
          </w:tcPr>
          <w:p w14:paraId="1D7A4B47">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p>
        </w:tc>
        <w:tc>
          <w:tcPr>
            <w:tcW w:w="757" w:type="pct"/>
            <w:tcBorders>
              <w:top w:val="single" w:color="auto" w:sz="4" w:space="0"/>
              <w:left w:val="single" w:color="auto" w:sz="4" w:space="0"/>
              <w:bottom w:val="single" w:color="auto" w:sz="4" w:space="0"/>
              <w:right w:val="single" w:color="auto" w:sz="4" w:space="0"/>
            </w:tcBorders>
            <w:vAlign w:val="center"/>
          </w:tcPr>
          <w:p w14:paraId="11CC635A">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售后服务方案</w:t>
            </w:r>
          </w:p>
        </w:tc>
        <w:tc>
          <w:tcPr>
            <w:tcW w:w="3185" w:type="pct"/>
            <w:tcBorders>
              <w:top w:val="single" w:color="auto" w:sz="4" w:space="0"/>
              <w:left w:val="single" w:color="auto" w:sz="4" w:space="0"/>
              <w:bottom w:val="single" w:color="auto" w:sz="4" w:space="0"/>
              <w:right w:val="single" w:color="auto" w:sz="4" w:space="0"/>
            </w:tcBorders>
            <w:vAlign w:val="center"/>
          </w:tcPr>
          <w:p w14:paraId="1B790701">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评标委员会根据招标文件要求及投标人提供的售后服务方案情况，进行综合评分：</w:t>
            </w:r>
          </w:p>
          <w:p w14:paraId="0E50CE09">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1.售后服务方案组成部分：</w:t>
            </w:r>
          </w:p>
          <w:p w14:paraId="7C19363F">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（1）售后服务机构及人员配置；</w:t>
            </w:r>
          </w:p>
          <w:p w14:paraId="38375473">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（2）服务响应方案；</w:t>
            </w:r>
          </w:p>
          <w:p w14:paraId="5B071D5A">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（3）质量保障方案；</w:t>
            </w:r>
          </w:p>
          <w:p w14:paraId="327BFF7F">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（4）应急措施方案；</w:t>
            </w:r>
          </w:p>
          <w:p w14:paraId="705F3A3A">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（5）退换货方案。</w:t>
            </w:r>
          </w:p>
          <w:p w14:paraId="0F22FEBD">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基本得分：每有1类方案的得1分，最多得5分。 </w:t>
            </w:r>
          </w:p>
          <w:p w14:paraId="1EFD172E">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评审小组根据各供应商的具体响应内容按照评审因素指标进一步评审：</w:t>
            </w:r>
          </w:p>
          <w:p w14:paraId="766EEBA4">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（1）售后服务方案施方案健全，思路可行，处理适宜，便于实施，保障内容详细完整、可操作性强、针对性强的得3分；</w:t>
            </w:r>
          </w:p>
          <w:p w14:paraId="272A9E9D">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（2）售后服务方案具备可操作性，保障内容完善，适合本项目需求的得2分；</w:t>
            </w:r>
          </w:p>
          <w:p w14:paraId="7960FEF2">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（3）售后服务方案有待提升、可操作性细节有待完善、保障内容待提升的得1分；</w:t>
            </w:r>
          </w:p>
          <w:p w14:paraId="564F28FB">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（4）售后服务方案不可行或者未提供的得0分。</w:t>
            </w:r>
          </w:p>
        </w:tc>
        <w:tc>
          <w:tcPr>
            <w:tcW w:w="435" w:type="pct"/>
            <w:tcBorders>
              <w:top w:val="single" w:color="auto" w:sz="4" w:space="0"/>
              <w:left w:val="single" w:color="auto" w:sz="4" w:space="0"/>
              <w:bottom w:val="single" w:color="auto" w:sz="4" w:space="0"/>
              <w:right w:val="single" w:color="auto" w:sz="4" w:space="0"/>
            </w:tcBorders>
            <w:vAlign w:val="center"/>
          </w:tcPr>
          <w:p w14:paraId="668C0475">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分</w:t>
            </w:r>
          </w:p>
        </w:tc>
      </w:tr>
      <w:tr w14:paraId="6B93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pct"/>
            <w:tcBorders>
              <w:left w:val="single" w:color="auto" w:sz="4" w:space="0"/>
              <w:right w:val="single" w:color="auto" w:sz="4" w:space="0"/>
            </w:tcBorders>
            <w:vAlign w:val="center"/>
          </w:tcPr>
          <w:p w14:paraId="1E89E866">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价格分</w:t>
            </w:r>
          </w:p>
          <w:p w14:paraId="200B3A51">
            <w:pPr>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30</w:t>
            </w:r>
            <w:r>
              <w:rPr>
                <w:rFonts w:hint="eastAsia" w:ascii="宋体" w:hAnsi="宋体" w:eastAsia="宋体" w:cs="宋体"/>
                <w:sz w:val="24"/>
                <w:szCs w:val="24"/>
                <w:highlight w:val="none"/>
              </w:rPr>
              <w:t>分）</w:t>
            </w:r>
          </w:p>
        </w:tc>
        <w:tc>
          <w:tcPr>
            <w:tcW w:w="4377" w:type="pct"/>
            <w:gridSpan w:val="3"/>
            <w:tcBorders>
              <w:top w:val="single" w:color="auto" w:sz="4" w:space="0"/>
              <w:left w:val="single" w:color="auto" w:sz="4" w:space="0"/>
              <w:bottom w:val="single" w:color="auto" w:sz="4" w:space="0"/>
              <w:right w:val="single" w:color="auto" w:sz="4" w:space="0"/>
            </w:tcBorders>
            <w:vAlign w:val="center"/>
          </w:tcPr>
          <w:p w14:paraId="230B1B97">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价格分统一采用低价优先法，即满足招标文件要求且投标价格最低的投标报价为评标基准价，其价格分为满分</w:t>
            </w:r>
            <w:r>
              <w:rPr>
                <w:rFonts w:hint="eastAsia" w:ascii="宋体" w:hAnsi="宋体" w:eastAsia="宋体" w:cs="宋体"/>
                <w:sz w:val="24"/>
                <w:szCs w:val="24"/>
                <w:highlight w:val="none"/>
                <w:u w:val="single"/>
              </w:rPr>
              <w:t>30</w:t>
            </w:r>
            <w:r>
              <w:rPr>
                <w:rFonts w:hint="eastAsia" w:ascii="宋体" w:hAnsi="宋体" w:eastAsia="宋体" w:cs="宋体"/>
                <w:sz w:val="24"/>
                <w:szCs w:val="24"/>
                <w:highlight w:val="none"/>
              </w:rPr>
              <w:t>分。其他投标人的价格分统一按照下列公式计算：</w:t>
            </w:r>
          </w:p>
          <w:p w14:paraId="04F08280">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投标报价得分＝（评标基准价/投标报价）×</w:t>
            </w:r>
            <w:r>
              <w:rPr>
                <w:rFonts w:hint="eastAsia" w:ascii="宋体" w:hAnsi="宋体" w:eastAsia="宋体" w:cs="宋体"/>
                <w:sz w:val="24"/>
                <w:szCs w:val="24"/>
                <w:highlight w:val="none"/>
                <w:u w:val="single"/>
              </w:rPr>
              <w:t>30</w:t>
            </w:r>
            <w:r>
              <w:rPr>
                <w:rFonts w:hint="eastAsia" w:ascii="宋体" w:hAnsi="宋体" w:eastAsia="宋体" w:cs="宋体"/>
                <w:sz w:val="24"/>
                <w:szCs w:val="24"/>
                <w:highlight w:val="none"/>
              </w:rPr>
              <w:t>％×100</w:t>
            </w:r>
          </w:p>
        </w:tc>
      </w:tr>
    </w:tbl>
    <w:p w14:paraId="1348EA5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.3.3</w:t>
      </w:r>
      <w:r>
        <w:rPr>
          <w:rFonts w:hint="eastAsia" w:asciiTheme="minorEastAsia" w:hAnsiTheme="minorEastAsia" w:eastAsiaTheme="minorEastAsia"/>
          <w:sz w:val="24"/>
          <w:highlight w:val="none"/>
        </w:rPr>
        <w:t>分值汇总</w:t>
      </w:r>
    </w:p>
    <w:p w14:paraId="5070900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评标委员会各成员应当独立对每个</w:t>
      </w:r>
      <w:r>
        <w:rPr>
          <w:rFonts w:hint="eastAsia" w:asciiTheme="minorEastAsia" w:hAnsiTheme="minorEastAsia" w:eastAsiaTheme="minorEastAsia"/>
          <w:sz w:val="24"/>
          <w:highlight w:val="none"/>
        </w:rPr>
        <w:t>有效</w:t>
      </w:r>
      <w:r>
        <w:rPr>
          <w:rFonts w:asciiTheme="minorEastAsia" w:hAnsiTheme="minorEastAsia" w:eastAsiaTheme="minorEastAsia"/>
          <w:sz w:val="24"/>
          <w:highlight w:val="none"/>
        </w:rPr>
        <w:t>投标人的投标文件进行评</w:t>
      </w:r>
      <w:r>
        <w:rPr>
          <w:rFonts w:hint="eastAsia" w:asciiTheme="minorEastAsia" w:hAnsiTheme="minorEastAsia" w:eastAsiaTheme="minorEastAsia"/>
          <w:sz w:val="24"/>
          <w:highlight w:val="none"/>
        </w:rPr>
        <w:t>分</w:t>
      </w:r>
      <w:r>
        <w:rPr>
          <w:rFonts w:asciiTheme="minorEastAsia" w:hAnsiTheme="minorEastAsia" w:eastAsiaTheme="minorEastAsia"/>
          <w:sz w:val="24"/>
          <w:highlight w:val="none"/>
        </w:rPr>
        <w:t>，并汇总每个投</w:t>
      </w:r>
      <w:r>
        <w:rPr>
          <w:rFonts w:hint="eastAsia" w:asciiTheme="minorEastAsia" w:hAnsiTheme="minorEastAsia" w:eastAsiaTheme="minorEastAsia"/>
          <w:sz w:val="24"/>
          <w:highlight w:val="none"/>
        </w:rPr>
        <w:t>标人的得分。取各位评委评分之平均值，四舍五入保留至小数点后两位数，</w:t>
      </w:r>
      <w:r>
        <w:rPr>
          <w:rFonts w:asciiTheme="minorEastAsia" w:hAnsiTheme="minorEastAsia" w:eastAsiaTheme="minorEastAsia"/>
          <w:sz w:val="24"/>
          <w:highlight w:val="none"/>
        </w:rPr>
        <w:t>得到该投标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的技术资信分</w:t>
      </w:r>
      <w:r>
        <w:rPr>
          <w:rFonts w:hint="eastAsia" w:asciiTheme="minorEastAsia" w:hAnsiTheme="minorEastAsia" w:eastAsiaTheme="minorEastAsia"/>
          <w:sz w:val="24"/>
          <w:highlight w:val="none"/>
        </w:rPr>
        <w:t>。</w:t>
      </w:r>
    </w:p>
    <w:p w14:paraId="19E077DD">
      <w:pPr>
        <w:spacing w:line="360" w:lineRule="auto"/>
        <w:ind w:firstLine="437"/>
        <w:outlineLvl w:val="1"/>
        <w:rPr>
          <w:rFonts w:hint="eastAsia" w:asciiTheme="minorEastAsia" w:hAnsiTheme="minorEastAsia" w:eastAsiaTheme="minorEastAsia"/>
          <w:sz w:val="24"/>
          <w:highlight w:val="none"/>
        </w:rPr>
      </w:pPr>
      <w:bookmarkStart w:id="56" w:name="_Toc32205"/>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将投标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的技术资信分加上根据上述标准计算出的价格分，即为该投标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的综合总得分。</w:t>
      </w:r>
      <w:bookmarkEnd w:id="56"/>
    </w:p>
    <w:p w14:paraId="26F9D71C">
      <w:pPr>
        <w:spacing w:line="360" w:lineRule="auto"/>
        <w:ind w:firstLine="437"/>
        <w:outlineLvl w:val="1"/>
        <w:rPr>
          <w:rFonts w:hint="eastAsia" w:asciiTheme="minorEastAsia" w:hAnsiTheme="minorEastAsia" w:eastAsiaTheme="minorEastAsia"/>
          <w:b/>
          <w:sz w:val="24"/>
          <w:highlight w:val="none"/>
        </w:rPr>
      </w:pPr>
      <w:bookmarkStart w:id="57" w:name="_Toc11449"/>
      <w:r>
        <w:rPr>
          <w:rFonts w:hint="eastAsia" w:asciiTheme="minorEastAsia" w:hAnsiTheme="minorEastAsia" w:eastAsiaTheme="minorEastAsia"/>
          <w:b/>
          <w:sz w:val="24"/>
          <w:highlight w:val="none"/>
        </w:rPr>
        <w:t>三、无效投标条款</w:t>
      </w:r>
      <w:bookmarkEnd w:id="57"/>
    </w:p>
    <w:p w14:paraId="1C735C0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3.1投标文件有下列情形之一的,其投标文件拒收:</w:t>
      </w:r>
    </w:p>
    <w:p w14:paraId="00FDC96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 未在开标截止时间前递交有效投标文件的，不予接收，投标将被拒绝。</w:t>
      </w:r>
    </w:p>
    <w:p w14:paraId="4BCC316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3.2投标人有下列情形之一的,资格审查后其投标作无效投标处理：</w:t>
      </w:r>
    </w:p>
    <w:p w14:paraId="6CF6CCB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(1)投标人为本项目提供招标代理服务的；</w:t>
      </w:r>
    </w:p>
    <w:p w14:paraId="3841847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(2)投标人与在本项目代理机构存在相互任职或工作的；</w:t>
      </w:r>
    </w:p>
    <w:p w14:paraId="172E2C2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(3)招标公告写明专门面向中小企业采购，投标人提供的货物非中小企业制造的；</w:t>
      </w:r>
    </w:p>
    <w:p w14:paraId="457B62B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(4)要求供应商以联合体形式参加采购活动，投标人非联合体或者联合协议中中小企业合同金额未达到应当达到的比例；</w:t>
      </w:r>
    </w:p>
    <w:p w14:paraId="225C457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(5)要求获得采购合同的供应商向中小企业分包，投标人未提供分包意向协议或者分包意向协议中中小企业合同金额未达到应当达到的比例；</w:t>
      </w:r>
    </w:p>
    <w:p w14:paraId="62A1658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(6)评标专家无法查看并检验投标文件中相关资料的；</w:t>
      </w:r>
    </w:p>
    <w:p w14:paraId="2857E2D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(7)联合体投标未提交联合体协议的；</w:t>
      </w:r>
    </w:p>
    <w:p w14:paraId="3758A4A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(8)责令停产停业的；</w:t>
      </w:r>
    </w:p>
    <w:p w14:paraId="1D4E3D5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(9)暂停或者取消参与政府采购项目资格的；</w:t>
      </w:r>
    </w:p>
    <w:p w14:paraId="165951E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(10)投标人单位负责人为同一人或者存在（直接）控股、管理关系的不同单位的；</w:t>
      </w:r>
    </w:p>
    <w:p w14:paraId="7C720BD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(11)投标人基本资格条件和特定资格条件中有一项及以上不符合要求的；</w:t>
      </w:r>
    </w:p>
    <w:p w14:paraId="71C67CC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)其它情形，经评标委员会提出按无效投标处理的；</w:t>
      </w:r>
    </w:p>
    <w:p w14:paraId="40C6B7A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)投标人单方面出现其他投标人材料的；</w:t>
      </w:r>
    </w:p>
    <w:p w14:paraId="74F6481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)招标公告未写明允许采购进口产品，投标人所投产品为进口产品的；</w:t>
      </w:r>
    </w:p>
    <w:p w14:paraId="551A131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rPr>
        <w:t>)招标文件规定的其它无效投标情形。</w:t>
      </w:r>
    </w:p>
    <w:p w14:paraId="1ED6E5B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3.3 投标人有下列情形之一的,符合性审查后其投标按无效投标处理：</w:t>
      </w:r>
    </w:p>
    <w:p w14:paraId="47666A4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(1)投标文件签字、盖章不全，经评标委员会一致认定对开评标内容有实质性影响的；</w:t>
      </w:r>
    </w:p>
    <w:p w14:paraId="0DE6CFA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(2)未按规定的格式填写导致实质性内容不全以及实质上不响应，或者关键字迹模糊、无法辨认的；</w:t>
      </w:r>
    </w:p>
    <w:p w14:paraId="2DFCF49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(3)同一投标人提交两个以上不同的投标文件或者投标报价，但招标文件规定提交备选方案的除外；</w:t>
      </w:r>
    </w:p>
    <w:p w14:paraId="34224A31">
      <w:pPr>
        <w:spacing w:line="360" w:lineRule="auto"/>
        <w:ind w:firstLine="435"/>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(4)投标文件没有对招标文件的实质性要求和条件作出响应</w:t>
      </w:r>
      <w:r>
        <w:rPr>
          <w:rFonts w:hint="eastAsia" w:asciiTheme="minorEastAsia" w:hAnsiTheme="minorEastAsia" w:eastAsiaTheme="minorEastAsia"/>
          <w:sz w:val="24"/>
          <w:highlight w:val="none"/>
          <w:lang w:eastAsia="zh-CN"/>
        </w:rPr>
        <w:t>；</w:t>
      </w:r>
    </w:p>
    <w:p w14:paraId="43795D7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(5)投标报价超出规定的投标限价或公布的采购预算的或投标人的投标报价各项单价高于招标文件给定的单价最高限价；</w:t>
      </w:r>
    </w:p>
    <w:p w14:paraId="21AA851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(6)不按评标委员会要求澄清、说明或补正的，或者评标委员会根据招标文件的规定对投标文件的计算错误进行修正后，投标人不接受修正的投标报价的。</w:t>
      </w:r>
    </w:p>
    <w:p w14:paraId="0D31FE0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(7)其它情形，经评标委员会提出按无效投标处理的；</w:t>
      </w:r>
    </w:p>
    <w:p w14:paraId="002FABC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(8)投标文件含有采购人不能接受的附加条件的；</w:t>
      </w:r>
    </w:p>
    <w:p w14:paraId="0678203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(9)招标文件规定的其它无效投标情形。</w:t>
      </w:r>
    </w:p>
    <w:p w14:paraId="43C1F83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3.4 投标人有下列情形之一的, 详细评审后其投标按无效投标处理：</w:t>
      </w:r>
    </w:p>
    <w:p w14:paraId="53DA424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(1)投标产品不符合必须强制执行的国家标准的；</w:t>
      </w:r>
    </w:p>
    <w:p w14:paraId="564D8C9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(2)投标人有串通投标、弄虚作假、行贿等违法行为；</w:t>
      </w:r>
    </w:p>
    <w:p w14:paraId="43BDD2B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(3)投标文件含有违反国家法律、法规的内容，或附有采购人不能接受的条件的；</w:t>
      </w:r>
    </w:p>
    <w:p w14:paraId="16E4D00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(4)报价明显低于其他投标人，且不能证明报价合理性的投标无效；</w:t>
      </w:r>
    </w:p>
    <w:p w14:paraId="6FF2842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(5)拒不确认评标委员会评审修正的投标无效；</w:t>
      </w:r>
    </w:p>
    <w:p w14:paraId="3409F63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(6)其它情形，经评标委员会委提出按无效投标处理的；</w:t>
      </w:r>
    </w:p>
    <w:p w14:paraId="744CA03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(7)招标文件规定的其它无效投标情形。</w:t>
      </w:r>
    </w:p>
    <w:p w14:paraId="5F78CC77">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01AF372B">
      <w:pPr>
        <w:spacing w:line="360" w:lineRule="auto"/>
        <w:jc w:val="center"/>
        <w:outlineLvl w:val="0"/>
        <w:rPr>
          <w:rFonts w:hint="eastAsia" w:asciiTheme="minorEastAsia" w:hAnsiTheme="minorEastAsia" w:eastAsiaTheme="minorEastAsia"/>
          <w:b/>
          <w:sz w:val="28"/>
          <w:highlight w:val="none"/>
        </w:rPr>
      </w:pPr>
      <w:bookmarkStart w:id="58" w:name="_Toc9783"/>
      <w:r>
        <w:rPr>
          <w:rFonts w:hint="eastAsia" w:asciiTheme="minorEastAsia" w:hAnsiTheme="minorEastAsia" w:eastAsiaTheme="minorEastAsia"/>
          <w:b/>
          <w:sz w:val="28"/>
          <w:highlight w:val="none"/>
        </w:rPr>
        <w:t xml:space="preserve">第五章  </w:t>
      </w:r>
      <w:r>
        <w:rPr>
          <w:rFonts w:asciiTheme="minorEastAsia" w:hAnsiTheme="minorEastAsia" w:eastAsiaTheme="minorEastAsia"/>
          <w:b/>
          <w:sz w:val="28"/>
          <w:highlight w:val="none"/>
        </w:rPr>
        <w:t>政府采购合同</w:t>
      </w:r>
      <w:bookmarkEnd w:id="58"/>
    </w:p>
    <w:p w14:paraId="6FB1C364">
      <w:pPr>
        <w:pStyle w:val="9"/>
        <w:spacing w:after="0" w:line="360" w:lineRule="auto"/>
        <w:rPr>
          <w:rFonts w:hint="eastAsia" w:ascii="宋体" w:hAnsi="宋体" w:eastAsia="宋体" w:cs="宋体"/>
          <w:b/>
          <w:bCs/>
          <w:spacing w:val="-20"/>
          <w:kern w:val="44"/>
          <w:sz w:val="24"/>
          <w:highlight w:val="none"/>
        </w:rPr>
      </w:pPr>
    </w:p>
    <w:p w14:paraId="225A5ABE">
      <w:pPr>
        <w:pStyle w:val="9"/>
        <w:spacing w:after="0" w:line="360" w:lineRule="auto"/>
        <w:jc w:val="center"/>
        <w:rPr>
          <w:rFonts w:hint="eastAsia" w:ascii="宋体" w:hAnsi="宋体" w:eastAsia="宋体" w:cs="宋体"/>
          <w:b/>
          <w:bCs/>
          <w:spacing w:val="-20"/>
          <w:kern w:val="44"/>
          <w:sz w:val="24"/>
          <w:highlight w:val="none"/>
        </w:rPr>
      </w:pPr>
    </w:p>
    <w:p w14:paraId="7D05E620">
      <w:pPr>
        <w:pStyle w:val="9"/>
        <w:spacing w:after="0" w:line="360" w:lineRule="auto"/>
        <w:jc w:val="center"/>
        <w:rPr>
          <w:rFonts w:hint="eastAsia" w:ascii="宋体" w:hAnsi="宋体" w:eastAsia="宋体" w:cs="宋体"/>
          <w:b/>
          <w:bCs/>
          <w:spacing w:val="-20"/>
          <w:kern w:val="44"/>
          <w:sz w:val="24"/>
          <w:highlight w:val="none"/>
        </w:rPr>
      </w:pPr>
    </w:p>
    <w:p w14:paraId="7B34A6B6">
      <w:pPr>
        <w:pStyle w:val="9"/>
        <w:spacing w:after="0" w:line="360" w:lineRule="auto"/>
        <w:jc w:val="center"/>
        <w:rPr>
          <w:rFonts w:hint="eastAsia" w:ascii="宋体" w:hAnsi="宋体" w:eastAsia="宋体" w:cs="宋体"/>
          <w:b/>
          <w:bCs/>
          <w:spacing w:val="-20"/>
          <w:kern w:val="44"/>
          <w:sz w:val="24"/>
          <w:highlight w:val="none"/>
        </w:rPr>
      </w:pPr>
    </w:p>
    <w:p w14:paraId="0E483FEF">
      <w:pPr>
        <w:spacing w:line="360" w:lineRule="auto"/>
        <w:rPr>
          <w:rFonts w:hint="eastAsia" w:ascii="宋体" w:hAnsi="宋体" w:eastAsia="宋体" w:cs="宋体"/>
          <w:b/>
          <w:bCs/>
          <w:spacing w:val="-20"/>
          <w:kern w:val="44"/>
          <w:sz w:val="24"/>
          <w:szCs w:val="24"/>
          <w:highlight w:val="none"/>
        </w:rPr>
      </w:pPr>
    </w:p>
    <w:p w14:paraId="6A20C1F5">
      <w:pPr>
        <w:pStyle w:val="9"/>
        <w:rPr>
          <w:rFonts w:hint="eastAsia" w:ascii="宋体" w:hAnsi="宋体" w:eastAsia="宋体" w:cs="宋体"/>
          <w:b/>
          <w:bCs/>
          <w:spacing w:val="-20"/>
          <w:kern w:val="44"/>
          <w:sz w:val="24"/>
          <w:highlight w:val="none"/>
        </w:rPr>
      </w:pPr>
    </w:p>
    <w:p w14:paraId="35ED4438">
      <w:pPr>
        <w:rPr>
          <w:rFonts w:hint="eastAsia" w:ascii="宋体" w:hAnsi="宋体" w:eastAsia="宋体" w:cs="宋体"/>
          <w:b/>
          <w:bCs/>
          <w:spacing w:val="-20"/>
          <w:kern w:val="44"/>
          <w:sz w:val="24"/>
          <w:szCs w:val="24"/>
          <w:highlight w:val="none"/>
        </w:rPr>
      </w:pPr>
    </w:p>
    <w:p w14:paraId="6298A69D">
      <w:pPr>
        <w:rPr>
          <w:rFonts w:hint="eastAsia" w:ascii="宋体" w:hAnsi="宋体" w:eastAsia="宋体" w:cs="宋体"/>
          <w:b/>
          <w:bCs/>
          <w:spacing w:val="-20"/>
          <w:kern w:val="44"/>
          <w:sz w:val="24"/>
          <w:szCs w:val="24"/>
          <w:highlight w:val="none"/>
        </w:rPr>
      </w:pPr>
    </w:p>
    <w:p w14:paraId="2C4E6771">
      <w:pPr>
        <w:rPr>
          <w:rFonts w:hint="eastAsia" w:ascii="宋体" w:hAnsi="宋体" w:eastAsia="宋体" w:cs="宋体"/>
          <w:b/>
          <w:bCs/>
          <w:spacing w:val="-20"/>
          <w:kern w:val="44"/>
          <w:sz w:val="24"/>
          <w:szCs w:val="24"/>
          <w:highlight w:val="none"/>
        </w:rPr>
      </w:pPr>
    </w:p>
    <w:p w14:paraId="35097AE6">
      <w:pPr>
        <w:rPr>
          <w:rFonts w:hint="eastAsia" w:ascii="宋体" w:hAnsi="宋体" w:eastAsia="宋体" w:cs="宋体"/>
          <w:b/>
          <w:bCs/>
          <w:spacing w:val="-20"/>
          <w:kern w:val="44"/>
          <w:sz w:val="24"/>
          <w:szCs w:val="24"/>
          <w:highlight w:val="none"/>
        </w:rPr>
      </w:pPr>
    </w:p>
    <w:p w14:paraId="15CCB5C7">
      <w:pPr>
        <w:rPr>
          <w:rFonts w:hint="eastAsia" w:ascii="宋体" w:hAnsi="宋体" w:eastAsia="宋体" w:cs="宋体"/>
          <w:b/>
          <w:bCs/>
          <w:spacing w:val="-20"/>
          <w:kern w:val="44"/>
          <w:sz w:val="24"/>
          <w:szCs w:val="24"/>
          <w:highlight w:val="none"/>
        </w:rPr>
      </w:pPr>
    </w:p>
    <w:p w14:paraId="1A0D4DEC">
      <w:pPr>
        <w:rPr>
          <w:rFonts w:hint="eastAsia" w:ascii="宋体" w:hAnsi="宋体" w:eastAsia="宋体" w:cs="宋体"/>
          <w:b/>
          <w:bCs/>
          <w:spacing w:val="-20"/>
          <w:kern w:val="44"/>
          <w:sz w:val="24"/>
          <w:szCs w:val="24"/>
          <w:highlight w:val="none"/>
        </w:rPr>
      </w:pPr>
    </w:p>
    <w:p w14:paraId="1BF5A77C">
      <w:pPr>
        <w:pStyle w:val="9"/>
        <w:rPr>
          <w:rFonts w:hint="eastAsia" w:ascii="宋体" w:hAnsi="宋体" w:eastAsia="宋体" w:cs="宋体"/>
          <w:b/>
          <w:bCs/>
          <w:spacing w:val="-20"/>
          <w:kern w:val="44"/>
          <w:sz w:val="24"/>
          <w:highlight w:val="none"/>
        </w:rPr>
      </w:pPr>
    </w:p>
    <w:p w14:paraId="1E8C1DCE">
      <w:pPr>
        <w:spacing w:line="360" w:lineRule="auto"/>
        <w:rPr>
          <w:rFonts w:hint="eastAsia" w:ascii="宋体" w:hAnsi="宋体" w:eastAsia="宋体" w:cs="宋体"/>
          <w:b/>
          <w:bCs/>
          <w:spacing w:val="-20"/>
          <w:kern w:val="44"/>
          <w:sz w:val="24"/>
          <w:szCs w:val="24"/>
          <w:highlight w:val="none"/>
        </w:rPr>
      </w:pPr>
    </w:p>
    <w:p w14:paraId="695958DC">
      <w:pPr>
        <w:pStyle w:val="9"/>
        <w:spacing w:line="360" w:lineRule="auto"/>
        <w:rPr>
          <w:rFonts w:hint="eastAsia"/>
          <w:highlight w:val="none"/>
        </w:rPr>
      </w:pPr>
    </w:p>
    <w:p w14:paraId="71D08382">
      <w:pPr>
        <w:spacing w:line="360" w:lineRule="auto"/>
        <w:rPr>
          <w:rFonts w:hint="eastAsia" w:ascii="宋体" w:hAnsi="宋体" w:eastAsia="宋体" w:cs="宋体"/>
          <w:b/>
          <w:bCs/>
          <w:spacing w:val="-20"/>
          <w:kern w:val="44"/>
          <w:sz w:val="24"/>
          <w:szCs w:val="24"/>
          <w:highlight w:val="none"/>
        </w:rPr>
      </w:pPr>
    </w:p>
    <w:p w14:paraId="13014C9D">
      <w:pPr>
        <w:widowControl/>
        <w:wordWrap w:val="0"/>
        <w:spacing w:line="360" w:lineRule="auto"/>
        <w:ind w:firstLine="480" w:firstLineChars="200"/>
        <w:jc w:val="left"/>
        <w:rPr>
          <w:rFonts w:hint="eastAsia" w:ascii="宋体" w:hAnsi="宋体" w:eastAsia="宋体" w:cs="宋体"/>
          <w:sz w:val="24"/>
          <w:szCs w:val="24"/>
          <w:highlight w:val="none"/>
          <w:u w:val="single"/>
          <w:lang w:eastAsia="zh-CN"/>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shd w:val="clear" w:color="auto" w:fill="FFFFFF"/>
          <w:lang w:eastAsia="zh-CN" w:bidi="ar"/>
        </w:rPr>
        <w:t>2025年滁州市母婴阻断项目试剂（非药字号）采购项目</w:t>
      </w:r>
    </w:p>
    <w:p w14:paraId="66DE6CFF">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7BB63654">
      <w:pPr>
        <w:spacing w:line="360" w:lineRule="auto"/>
        <w:ind w:firstLine="480" w:firstLineChars="200"/>
        <w:rPr>
          <w:rFonts w:hint="eastAsia" w:ascii="宋体" w:hAnsi="宋体" w:eastAsia="宋体" w:cs="宋体"/>
          <w:sz w:val="24"/>
          <w:szCs w:val="24"/>
          <w:highlight w:val="none"/>
          <w:lang w:eastAsia="zh-CN"/>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甲方（采购人）</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u w:val="single"/>
          <w:lang w:eastAsia="zh-CN"/>
        </w:rPr>
        <w:t>滁州市妇幼保健计划生育服务中心</w:t>
      </w:r>
    </w:p>
    <w:p w14:paraId="072DBD46">
      <w:pPr>
        <w:spacing w:line="360" w:lineRule="auto"/>
        <w:ind w:firstLine="480" w:firstLineChars="200"/>
        <w:rPr>
          <w:rFonts w:hint="eastAsia" w:ascii="宋体" w:hAnsi="宋体" w:eastAsia="宋体" w:cs="宋体"/>
          <w:sz w:val="24"/>
          <w:szCs w:val="24"/>
          <w:highlight w:val="none"/>
          <w:u w:val="singl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4E15DFA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727BE99C">
      <w:pPr>
        <w:spacing w:line="360" w:lineRule="auto"/>
        <w:rPr>
          <w:rFonts w:hint="eastAsia" w:ascii="宋体" w:hAnsi="宋体" w:eastAsia="宋体" w:cs="宋体"/>
          <w:sz w:val="24"/>
          <w:szCs w:val="24"/>
          <w:highlight w:val="none"/>
        </w:rPr>
      </w:pPr>
    </w:p>
    <w:p w14:paraId="2E5FD23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2A22B10">
      <w:pPr>
        <w:spacing w:before="156" w:beforeLines="50" w:after="156" w:afterLines="50" w:line="360" w:lineRule="auto"/>
        <w:jc w:val="center"/>
        <w:outlineLvl w:val="1"/>
        <w:rPr>
          <w:rFonts w:hint="eastAsia" w:ascii="宋体" w:hAnsi="宋体" w:eastAsia="宋体" w:cs="宋体"/>
          <w:sz w:val="24"/>
          <w:szCs w:val="24"/>
          <w:highlight w:val="none"/>
        </w:rPr>
      </w:pPr>
      <w:bookmarkStart w:id="59" w:name="_Toc22209"/>
      <w:bookmarkStart w:id="60" w:name="_Toc4650"/>
      <w:r>
        <w:rPr>
          <w:rFonts w:hint="eastAsia" w:asciiTheme="minorEastAsia" w:hAnsiTheme="minorEastAsia" w:eastAsiaTheme="minorEastAsia"/>
          <w:b/>
          <w:color w:val="000000" w:themeColor="text1"/>
          <w:sz w:val="24"/>
          <w:highlight w:val="none"/>
          <w14:textFill>
            <w14:solidFill>
              <w14:schemeClr w14:val="tx1"/>
            </w14:solidFill>
          </w14:textFill>
        </w:rPr>
        <w:t>第一节 政府采购合同协议书</w:t>
      </w:r>
      <w:bookmarkEnd w:id="59"/>
      <w:bookmarkEnd w:id="60"/>
    </w:p>
    <w:p w14:paraId="494BE81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甲方（全称）：</w:t>
      </w:r>
      <w:r>
        <w:rPr>
          <w:rFonts w:hint="eastAsia" w:ascii="宋体" w:hAnsi="宋体" w:eastAsia="宋体" w:cs="宋体"/>
          <w:kern w:val="0"/>
          <w:sz w:val="24"/>
          <w:szCs w:val="24"/>
          <w:highlight w:val="none"/>
          <w:u w:val="single"/>
          <w:lang w:eastAsia="zh-CN"/>
        </w:rPr>
        <w:t>滁州市妇幼保健计划生育服务中心</w:t>
      </w:r>
      <w:r>
        <w:rPr>
          <w:rFonts w:hint="eastAsia" w:ascii="宋体" w:hAnsi="宋体" w:eastAsia="宋体" w:cs="宋体"/>
          <w:sz w:val="24"/>
          <w:szCs w:val="24"/>
          <w:highlight w:val="none"/>
        </w:rPr>
        <w:t>（采购人、受采购人委托签订合同的单位或采购文件约定的合同甲方）</w:t>
      </w:r>
    </w:p>
    <w:p w14:paraId="3EA74061">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乙方1（全称）：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7C8D41BC">
      <w:pPr>
        <w:spacing w:line="360" w:lineRule="auto"/>
        <w:rPr>
          <w:rFonts w:hint="eastAsia" w:ascii="宋体" w:hAnsi="宋体" w:eastAsia="宋体" w:cs="宋体"/>
          <w:sz w:val="24"/>
          <w:szCs w:val="24"/>
          <w:highlight w:val="none"/>
        </w:rPr>
      </w:pPr>
    </w:p>
    <w:p w14:paraId="6C7F26BF">
      <w:pPr>
        <w:pStyle w:val="10"/>
        <w:adjustRightInd w:val="0"/>
        <w:snapToGrid w:val="0"/>
        <w:spacing w:after="0"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2E4D4E4">
      <w:pPr>
        <w:numPr>
          <w:ilvl w:val="0"/>
          <w:numId w:val="1"/>
        </w:num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7D49C53F">
      <w:pPr>
        <w:widowControl/>
        <w:wordWrap w:val="0"/>
        <w:spacing w:line="360" w:lineRule="auto"/>
        <w:ind w:firstLine="480" w:firstLineChars="200"/>
        <w:jc w:val="left"/>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（1）采购项目名称：</w:t>
      </w:r>
      <w:r>
        <w:rPr>
          <w:rFonts w:hint="eastAsia" w:ascii="宋体" w:hAnsi="宋体" w:eastAsia="宋体" w:cs="宋体"/>
          <w:sz w:val="24"/>
          <w:szCs w:val="24"/>
          <w:highlight w:val="none"/>
          <w:u w:val="single"/>
          <w:shd w:val="clear" w:color="auto" w:fill="FFFFFF"/>
          <w:lang w:eastAsia="zh-CN" w:bidi="ar"/>
        </w:rPr>
        <w:t>2025年滁州市母婴阻断项目试剂（非药字号）采购项目</w:t>
      </w:r>
    </w:p>
    <w:p w14:paraId="4E444BEE">
      <w:pPr>
        <w:pStyle w:val="10"/>
        <w:numPr>
          <w:ilvl w:val="255"/>
          <w:numId w:val="0"/>
        </w:numPr>
        <w:tabs>
          <w:tab w:val="left" w:pos="999"/>
        </w:tabs>
        <w:adjustRightInd w:val="0"/>
        <w:snapToGrid w:val="0"/>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（2）采购项目编号：</w:t>
      </w:r>
      <w:r>
        <w:rPr>
          <w:rFonts w:hint="eastAsia" w:ascii="宋体" w:hAnsi="宋体" w:eastAsia="宋体" w:cs="宋体"/>
          <w:sz w:val="24"/>
          <w:szCs w:val="24"/>
          <w:highlight w:val="none"/>
          <w:u w:val="single"/>
          <w:shd w:val="clear" w:color="auto" w:fill="FFFFFF"/>
          <w:lang w:val="en-US" w:eastAsia="zh-CN" w:bidi="ar"/>
        </w:rPr>
        <w:t>/</w:t>
      </w:r>
    </w:p>
    <w:p w14:paraId="19D7CEFE">
      <w:pPr>
        <w:pStyle w:val="10"/>
        <w:adjustRightInd w:val="0"/>
        <w:snapToGrid w:val="0"/>
        <w:spacing w:after="0" w:line="360" w:lineRule="auto"/>
        <w:ind w:left="0" w:leftChars="0"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（3）采购计划编号：</w:t>
      </w:r>
      <w:r>
        <w:rPr>
          <w:rFonts w:hint="eastAsia" w:ascii="宋体" w:hAnsi="宋体" w:eastAsia="宋体" w:cs="宋体"/>
          <w:sz w:val="24"/>
          <w:szCs w:val="24"/>
          <w:highlight w:val="none"/>
          <w:u w:val="single"/>
          <w:shd w:val="clear" w:color="auto" w:fill="FFFFFF"/>
          <w:lang w:val="en-US" w:eastAsia="zh-CN" w:bidi="ar"/>
        </w:rPr>
        <w:t xml:space="preserve">               </w:t>
      </w:r>
    </w:p>
    <w:p w14:paraId="01B5396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（4）项目内容：</w:t>
      </w:r>
    </w:p>
    <w:p w14:paraId="267689A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采购标的及数量：</w:t>
      </w:r>
      <w:r>
        <w:rPr>
          <w:rFonts w:hint="eastAsia" w:ascii="宋体" w:hAnsi="宋体" w:eastAsia="宋体" w:cs="宋体"/>
          <w:sz w:val="24"/>
          <w:szCs w:val="24"/>
          <w:highlight w:val="none"/>
          <w:u w:val="single"/>
        </w:rPr>
        <w:t xml:space="preserve">                    </w:t>
      </w:r>
    </w:p>
    <w:p w14:paraId="13A9686C">
      <w:pPr>
        <w:numPr>
          <w:ilvl w:val="255"/>
          <w:numId w:val="0"/>
        </w:numPr>
        <w:adjustRightInd w:val="0"/>
        <w:snapToGrid w:val="0"/>
        <w:spacing w:line="360" w:lineRule="auto"/>
        <w:ind w:firstLine="480" w:firstLineChars="200"/>
        <w:rPr>
          <w:rFonts w:hint="eastAsia" w:ascii="宋体" w:hAnsi="宋体" w:eastAsia="宋体" w:cs="宋体"/>
          <w:sz w:val="24"/>
          <w:szCs w:val="24"/>
          <w:highlight w:val="none"/>
          <w:lang w:val="en"/>
        </w:rPr>
      </w:pP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
        </w:rPr>
        <w:t xml:space="preserve">     </w:t>
      </w:r>
      <w:r>
        <w:rPr>
          <w:rFonts w:hint="eastAsia" w:ascii="宋体" w:hAnsi="宋体" w:eastAsia="宋体" w:cs="宋体"/>
          <w:sz w:val="24"/>
          <w:szCs w:val="24"/>
          <w:highlight w:val="none"/>
        </w:rPr>
        <w:t>规格型号：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p>
    <w:p w14:paraId="5549E439">
      <w:pPr>
        <w:adjustRightInd w:val="0"/>
        <w:snapToGrid w:val="0"/>
        <w:spacing w:line="360" w:lineRule="auto"/>
        <w:ind w:firstLine="1080" w:firstLineChars="45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采购标的的技术要求、商务要求具体见附件。</w:t>
      </w:r>
    </w:p>
    <w:p w14:paraId="7E771237">
      <w:pPr>
        <w:numPr>
          <w:ilvl w:val="255"/>
          <w:numId w:val="0"/>
        </w:numPr>
        <w:adjustRightInd w:val="0"/>
        <w:snapToGrid w:val="0"/>
        <w:spacing w:line="360" w:lineRule="auto"/>
        <w:ind w:firstLine="1080" w:firstLineChars="450"/>
        <w:rPr>
          <w:rFonts w:hint="eastAsia" w:ascii="宋体" w:hAnsi="宋体" w:eastAsia="宋体" w:cs="宋体"/>
          <w:sz w:val="24"/>
          <w:szCs w:val="24"/>
          <w:highlight w:val="none"/>
        </w:rPr>
      </w:pPr>
      <w:r>
        <w:rPr>
          <w:rFonts w:hint="eastAsia" w:ascii="宋体" w:hAnsi="宋体" w:eastAsia="宋体" w:cs="宋体"/>
          <w:sz w:val="24"/>
          <w:szCs w:val="24"/>
          <w:highlight w:val="none"/>
        </w:rPr>
        <w:t>①涉及信息类产品，请填写该产品关键部件的品牌、型号：</w:t>
      </w:r>
    </w:p>
    <w:p w14:paraId="101D4C3D">
      <w:pPr>
        <w:numPr>
          <w:ilvl w:val="255"/>
          <w:numId w:val="0"/>
        </w:numPr>
        <w:adjustRightInd w:val="0"/>
        <w:snapToGrid w:val="0"/>
        <w:spacing w:line="360" w:lineRule="auto"/>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sz w:val="24"/>
          <w:szCs w:val="24"/>
          <w:highlight w:val="none"/>
        </w:rPr>
        <w:t xml:space="preserve">     标的名称：</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
        </w:rPr>
        <w:t xml:space="preserve">        </w:t>
      </w:r>
      <w:r>
        <w:rPr>
          <w:rFonts w:hint="eastAsia" w:ascii="宋体" w:hAnsi="宋体" w:eastAsia="宋体" w:cs="宋体"/>
          <w:kern w:val="0"/>
          <w:sz w:val="24"/>
          <w:szCs w:val="24"/>
          <w:highlight w:val="none"/>
          <w:u w:val="single"/>
        </w:rPr>
        <w:t xml:space="preserve">    </w:t>
      </w:r>
    </w:p>
    <w:p w14:paraId="548DA810">
      <w:pPr>
        <w:numPr>
          <w:ilvl w:val="255"/>
          <w:numId w:val="0"/>
        </w:num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关键部件：</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 xml:space="preserve"> </w:t>
      </w:r>
      <w:r>
        <w:rPr>
          <w:rFonts w:hint="eastAsia" w:ascii="宋体" w:hAnsi="宋体" w:eastAsia="宋体" w:cs="宋体"/>
          <w:sz w:val="24"/>
          <w:szCs w:val="24"/>
          <w:highlight w:val="none"/>
        </w:rPr>
        <w:t>品牌：</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型号：</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w:t>
      </w:r>
    </w:p>
    <w:p w14:paraId="1D8B2880">
      <w:pPr>
        <w:pStyle w:val="71"/>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2"/>
          <w:sz w:val="24"/>
          <w:szCs w:val="24"/>
          <w:highlight w:val="none"/>
        </w:rPr>
        <w:t>关键部件</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型号：</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w:t>
      </w:r>
    </w:p>
    <w:p w14:paraId="34A9B0DD">
      <w:pPr>
        <w:pStyle w:val="71"/>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关键部件：</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型号：</w:t>
      </w:r>
      <w:r>
        <w:rPr>
          <w:rFonts w:hint="eastAsia" w:ascii="宋体" w:hAnsi="宋体" w:eastAsia="宋体" w:cs="宋体"/>
          <w:sz w:val="24"/>
          <w:szCs w:val="24"/>
          <w:highlight w:val="none"/>
          <w:u w:val="single"/>
        </w:rPr>
        <w:t xml:space="preserve">    /   </w:t>
      </w:r>
    </w:p>
    <w:p w14:paraId="54678C4B">
      <w:pPr>
        <w:pStyle w:val="71"/>
        <w:numPr>
          <w:ilvl w:val="255"/>
          <w:numId w:val="0"/>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0B0322B1">
      <w:pPr>
        <w:pStyle w:val="71"/>
        <w:numPr>
          <w:ilvl w:val="255"/>
          <w:numId w:val="0"/>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②涉及车辆采购，请填写是否属于新能源汽车：</w:t>
      </w:r>
    </w:p>
    <w:p w14:paraId="57C2F20F">
      <w:pPr>
        <w:pStyle w:val="71"/>
        <w:numPr>
          <w:ilvl w:val="255"/>
          <w:numId w:val="0"/>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是，《政府采购品目分类目录》底级品目名称：</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数量：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金额：</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w:t>
      </w:r>
    </w:p>
    <w:p w14:paraId="2FD537DC">
      <w:pPr>
        <w:pStyle w:val="71"/>
        <w:numPr>
          <w:ilvl w:val="255"/>
          <w:numId w:val="0"/>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66A45E93">
      <w:pPr>
        <w:pStyle w:val="71"/>
        <w:numPr>
          <w:ilvl w:val="255"/>
          <w:numId w:val="0"/>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
        </w:rPr>
        <w:t>4</w:t>
      </w:r>
      <w:r>
        <w:rPr>
          <w:rFonts w:hint="eastAsia" w:ascii="宋体" w:hAnsi="宋体" w:eastAsia="宋体" w:cs="宋体"/>
          <w:sz w:val="24"/>
          <w:szCs w:val="24"/>
          <w:highlight w:val="none"/>
        </w:rPr>
        <w:t>）政府采购组织形式：</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政府集中采购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部门集中采购  </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分散采购</w:t>
      </w:r>
    </w:p>
    <w:p w14:paraId="7E1254F5">
      <w:pPr>
        <w:pStyle w:val="71"/>
        <w:numPr>
          <w:ilvl w:val="255"/>
          <w:numId w:val="0"/>
        </w:numPr>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5</w:t>
      </w:r>
      <w:r>
        <w:rPr>
          <w:rFonts w:hint="eastAsia" w:ascii="宋体" w:hAnsi="宋体" w:eastAsia="宋体" w:cs="宋体"/>
          <w:sz w:val="24"/>
          <w:szCs w:val="24"/>
          <w:highlight w:val="none"/>
        </w:rPr>
        <w:t>）政府采购方式：</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 xml:space="preserve">公开招标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邀请招标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竞争性谈判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竞争性磋商</w:t>
      </w:r>
    </w:p>
    <w:p w14:paraId="27E77CDC">
      <w:pPr>
        <w:pStyle w:val="71"/>
        <w:numPr>
          <w:ilvl w:val="255"/>
          <w:numId w:val="0"/>
        </w:numPr>
        <w:snapToGrid w:val="0"/>
        <w:spacing w:line="360" w:lineRule="auto"/>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询价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单一来源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框架协议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其他：</w:t>
      </w:r>
      <w:r>
        <w:rPr>
          <w:rFonts w:hint="eastAsia" w:ascii="宋体" w:hAnsi="宋体" w:eastAsia="宋体" w:cs="宋体"/>
          <w:sz w:val="24"/>
          <w:szCs w:val="24"/>
          <w:highlight w:val="none"/>
          <w:u w:val="single"/>
        </w:rPr>
        <w:t xml:space="preserve">          </w:t>
      </w:r>
    </w:p>
    <w:p w14:paraId="40FDF648">
      <w:pPr>
        <w:pStyle w:val="71"/>
        <w:numPr>
          <w:ilvl w:val="255"/>
          <w:numId w:val="0"/>
        </w:numPr>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（注：在框架协议采购的第二阶段，可选择使用该合同文本）</w:t>
      </w:r>
    </w:p>
    <w:p w14:paraId="0F455F40">
      <w:pPr>
        <w:pStyle w:val="71"/>
        <w:numPr>
          <w:ilvl w:val="255"/>
          <w:numId w:val="0"/>
        </w:numPr>
        <w:snapToGrid w:val="0"/>
        <w:spacing w:line="360" w:lineRule="auto"/>
        <w:ind w:firstLine="240" w:firstLineChars="100"/>
        <w:rPr>
          <w:rFonts w:hint="eastAsia" w:ascii="宋体" w:hAnsi="宋体" w:eastAsia="宋体" w:cs="宋体"/>
          <w:kern w:val="2"/>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
        </w:rPr>
        <w:t>6</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中标（成交）采购标的制造商是否为中小企业：</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 xml:space="preserve">是      </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否</w:t>
      </w:r>
    </w:p>
    <w:p w14:paraId="09BE13C0">
      <w:pPr>
        <w:numPr>
          <w:ilvl w:val="255"/>
          <w:numId w:val="0"/>
        </w:numPr>
        <w:adjustRightInd w:val="0"/>
        <w:snapToGrid w:val="0"/>
        <w:spacing w:line="360" w:lineRule="auto"/>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本合同是否为专门面向中小企业的采购合同（中小企业预留合同）：</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否</w:t>
      </w:r>
    </w:p>
    <w:p w14:paraId="05B1CBF4">
      <w:pPr>
        <w:numPr>
          <w:ilvl w:val="255"/>
          <w:numId w:val="0"/>
        </w:numPr>
        <w:adjustRightInd w:val="0"/>
        <w:snapToGrid w:val="0"/>
        <w:spacing w:line="360" w:lineRule="auto"/>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若本项目不专门面向中小企业采购，是否给予小微企业评审优惠：</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220AEE9A">
      <w:pPr>
        <w:numPr>
          <w:ilvl w:val="255"/>
          <w:numId w:val="0"/>
        </w:numPr>
        <w:adjustRightInd w:val="0"/>
        <w:snapToGrid w:val="0"/>
        <w:spacing w:line="360" w:lineRule="auto"/>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中标（成交）采购标的制造商是否为残疾人福利性单位：</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363F8114">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中标（成交）采购标的制造商是否为监狱企业：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74948E8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7</w:t>
      </w:r>
      <w:r>
        <w:rPr>
          <w:rFonts w:hint="eastAsia" w:ascii="宋体" w:hAnsi="宋体" w:eastAsia="宋体" w:cs="宋体"/>
          <w:sz w:val="24"/>
          <w:szCs w:val="24"/>
          <w:highlight w:val="none"/>
        </w:rPr>
        <w:t>）合同是否分包：</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否</w:t>
      </w:r>
    </w:p>
    <w:p w14:paraId="29BB0B91">
      <w:pPr>
        <w:adjustRightInd w:val="0"/>
        <w:snapToGrid w:val="0"/>
        <w:spacing w:line="360" w:lineRule="auto"/>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分包主要内容：</w:t>
      </w:r>
      <w:r>
        <w:rPr>
          <w:rFonts w:hint="eastAsia" w:ascii="宋体" w:hAnsi="宋体" w:eastAsia="宋体" w:cs="宋体"/>
          <w:sz w:val="24"/>
          <w:szCs w:val="24"/>
          <w:highlight w:val="none"/>
          <w:u w:val="single"/>
        </w:rPr>
        <w:t xml:space="preserve">    /    </w:t>
      </w:r>
    </w:p>
    <w:p w14:paraId="66CB5694">
      <w:pPr>
        <w:adjustRightInd w:val="0"/>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分包供应商/制造商名称（如供应商和制造商不同，请分别填写）：</w:t>
      </w:r>
    </w:p>
    <w:p w14:paraId="795700D0">
      <w:pPr>
        <w:adjustRightInd w:val="0"/>
        <w:snapToGrid w:val="0"/>
        <w:spacing w:line="360" w:lineRule="auto"/>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   </w:t>
      </w:r>
    </w:p>
    <w:p w14:paraId="46C5B6BE">
      <w:pPr>
        <w:adjustRightInd w:val="0"/>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分包供应商/制造商类型（如果供应商和制造商不同，只填写制造商类型）：</w:t>
      </w:r>
    </w:p>
    <w:p w14:paraId="04925F2F">
      <w:pPr>
        <w:adjustRightInd w:val="0"/>
        <w:snapToGrid w:val="0"/>
        <w:spacing w:line="360" w:lineRule="auto"/>
        <w:ind w:firstLine="960" w:firstLineChars="400"/>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大型企业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中型企业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小微型企业  </w:t>
      </w:r>
    </w:p>
    <w:p w14:paraId="3DC8FA72">
      <w:pPr>
        <w:adjustRightInd w:val="0"/>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残疾人福利性单位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监狱企业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其他</w:t>
      </w:r>
    </w:p>
    <w:p w14:paraId="50936E9A">
      <w:pPr>
        <w:numPr>
          <w:ilvl w:val="255"/>
          <w:numId w:val="0"/>
        </w:numPr>
        <w:adjustRightInd w:val="0"/>
        <w:snapToGrid w:val="0"/>
        <w:spacing w:line="360" w:lineRule="auto"/>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
        </w:rPr>
        <w:t>8</w:t>
      </w:r>
      <w:r>
        <w:rPr>
          <w:rFonts w:hint="eastAsia" w:ascii="宋体" w:hAnsi="宋体" w:eastAsia="宋体" w:cs="宋体"/>
          <w:sz w:val="24"/>
          <w:szCs w:val="24"/>
          <w:highlight w:val="none"/>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6BF5434E">
      <w:pPr>
        <w:pStyle w:val="71"/>
        <w:tabs>
          <w:tab w:val="left" w:pos="1340"/>
        </w:tabs>
        <w:spacing w:line="360" w:lineRule="auto"/>
        <w:ind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部分由外国投资者投资</w:t>
      </w:r>
    </w:p>
    <w:p w14:paraId="3D53A09E">
      <w:pPr>
        <w:numPr>
          <w:ilvl w:val="255"/>
          <w:numId w:val="0"/>
        </w:num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9</w:t>
      </w:r>
      <w:r>
        <w:rPr>
          <w:rFonts w:hint="eastAsia" w:ascii="宋体" w:hAnsi="宋体" w:eastAsia="宋体" w:cs="宋体"/>
          <w:sz w:val="24"/>
          <w:szCs w:val="24"/>
          <w:highlight w:val="none"/>
        </w:rPr>
        <w:t>）是否涉及进口产品：</w:t>
      </w:r>
    </w:p>
    <w:p w14:paraId="561FD708">
      <w:pPr>
        <w:numPr>
          <w:ilvl w:val="255"/>
          <w:numId w:val="0"/>
        </w:numPr>
        <w:adjustRightInd w:val="0"/>
        <w:snapToGrid w:val="0"/>
        <w:spacing w:line="360" w:lineRule="auto"/>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是，《政府采购品目分类目录》底级品目名称：</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金额：</w:t>
      </w:r>
      <w:r>
        <w:rPr>
          <w:rFonts w:hint="eastAsia" w:ascii="宋体" w:hAnsi="宋体" w:eastAsia="宋体" w:cs="宋体"/>
          <w:sz w:val="24"/>
          <w:szCs w:val="24"/>
          <w:highlight w:val="none"/>
          <w:u w:val="single"/>
        </w:rPr>
        <w:t xml:space="preserve">  /      </w:t>
      </w:r>
    </w:p>
    <w:p w14:paraId="507A314B">
      <w:pPr>
        <w:numPr>
          <w:ilvl w:val="255"/>
          <w:numId w:val="0"/>
        </w:numPr>
        <w:adjustRightInd w:val="0"/>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国别：</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规格型号：</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w:t>
      </w:r>
    </w:p>
    <w:p w14:paraId="16CB6E23">
      <w:pPr>
        <w:adjustRightInd w:val="0"/>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2C74C855">
      <w:pPr>
        <w:numPr>
          <w:ilvl w:val="255"/>
          <w:numId w:val="0"/>
        </w:numPr>
        <w:tabs>
          <w:tab w:val="left" w:pos="740"/>
        </w:tabs>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val="en"/>
        </w:rPr>
        <w:t>0</w:t>
      </w:r>
      <w:r>
        <w:rPr>
          <w:rFonts w:hint="eastAsia" w:ascii="宋体" w:hAnsi="宋体" w:eastAsia="宋体" w:cs="宋体"/>
          <w:sz w:val="24"/>
          <w:szCs w:val="24"/>
          <w:highlight w:val="none"/>
        </w:rPr>
        <w:t>）是否涉及节能产品：</w:t>
      </w:r>
    </w:p>
    <w:p w14:paraId="762E0EFA">
      <w:pPr>
        <w:numPr>
          <w:ilvl w:val="255"/>
          <w:numId w:val="0"/>
        </w:numPr>
        <w:tabs>
          <w:tab w:val="left" w:pos="740"/>
        </w:tabs>
        <w:adjustRightInd w:val="0"/>
        <w:snapToGrid w:val="0"/>
        <w:spacing w:line="360" w:lineRule="auto"/>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是，《节能产品政府采购品目清单》的底级品目名称：</w:t>
      </w:r>
      <w:r>
        <w:rPr>
          <w:rFonts w:hint="eastAsia" w:ascii="宋体" w:hAnsi="宋体" w:eastAsia="宋体" w:cs="宋体"/>
          <w:sz w:val="24"/>
          <w:szCs w:val="24"/>
          <w:highlight w:val="none"/>
          <w:u w:val="single"/>
        </w:rPr>
        <w:t xml:space="preserve"> /    </w:t>
      </w:r>
      <w:r>
        <w:rPr>
          <w:rFonts w:hint="eastAsia" w:ascii="宋体" w:hAnsi="宋体" w:eastAsia="宋体" w:cs="宋体"/>
          <w:iCs/>
          <w:sz w:val="24"/>
          <w:szCs w:val="24"/>
          <w:highlight w:val="none"/>
        </w:rPr>
        <w:t xml:space="preserve">     </w:t>
      </w:r>
    </w:p>
    <w:p w14:paraId="5FF46574">
      <w:pPr>
        <w:numPr>
          <w:ilvl w:val="255"/>
          <w:numId w:val="0"/>
        </w:numPr>
        <w:tabs>
          <w:tab w:val="left" w:pos="740"/>
        </w:tabs>
        <w:adjustRightInd w:val="0"/>
        <w:snapToGrid w:val="0"/>
        <w:spacing w:line="360" w:lineRule="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 xml:space="preserve">优先采购    </w:t>
      </w:r>
    </w:p>
    <w:p w14:paraId="3A7E9689">
      <w:pPr>
        <w:numPr>
          <w:ilvl w:val="255"/>
          <w:numId w:val="0"/>
        </w:numPr>
        <w:tabs>
          <w:tab w:val="left" w:pos="740"/>
        </w:tabs>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1B113331">
      <w:pPr>
        <w:numPr>
          <w:ilvl w:val="255"/>
          <w:numId w:val="0"/>
        </w:numPr>
        <w:tabs>
          <w:tab w:val="left" w:pos="740"/>
        </w:tabs>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是否涉及环境标志产品：</w:t>
      </w:r>
    </w:p>
    <w:p w14:paraId="737E148B">
      <w:pPr>
        <w:numPr>
          <w:ilvl w:val="255"/>
          <w:numId w:val="0"/>
        </w:numPr>
        <w:tabs>
          <w:tab w:val="left" w:pos="740"/>
        </w:tabs>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是，《环境标志产品政府采购品目清单》的底级品目名称：</w:t>
      </w:r>
      <w:r>
        <w:rPr>
          <w:rFonts w:hint="eastAsia" w:ascii="宋体" w:hAnsi="宋体" w:eastAsia="宋体" w:cs="宋体"/>
          <w:sz w:val="24"/>
          <w:szCs w:val="24"/>
          <w:highlight w:val="none"/>
          <w:u w:val="single"/>
        </w:rPr>
        <w:t xml:space="preserve">  /      </w:t>
      </w:r>
      <w:r>
        <w:rPr>
          <w:rFonts w:hint="eastAsia" w:ascii="宋体" w:hAnsi="宋体" w:eastAsia="宋体" w:cs="宋体"/>
          <w:iCs/>
          <w:sz w:val="24"/>
          <w:szCs w:val="24"/>
          <w:highlight w:val="none"/>
        </w:rPr>
        <w:t xml:space="preserve"> </w:t>
      </w:r>
    </w:p>
    <w:p w14:paraId="31B3B7CF">
      <w:pPr>
        <w:numPr>
          <w:ilvl w:val="255"/>
          <w:numId w:val="0"/>
        </w:numPr>
        <w:tabs>
          <w:tab w:val="left" w:pos="740"/>
        </w:tabs>
        <w:adjustRightInd w:val="0"/>
        <w:snapToGrid w:val="0"/>
        <w:spacing w:line="360" w:lineRule="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 xml:space="preserve">优先采购    </w:t>
      </w:r>
    </w:p>
    <w:p w14:paraId="374D3C6A">
      <w:pPr>
        <w:numPr>
          <w:ilvl w:val="255"/>
          <w:numId w:val="0"/>
        </w:numPr>
        <w:tabs>
          <w:tab w:val="left" w:pos="740"/>
        </w:tabs>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14B02AA3">
      <w:pPr>
        <w:pStyle w:val="71"/>
        <w:numPr>
          <w:ilvl w:val="255"/>
          <w:numId w:val="0"/>
        </w:numPr>
        <w:snapToGrid w:val="0"/>
        <w:spacing w:line="360" w:lineRule="auto"/>
        <w:rPr>
          <w:rFonts w:hint="eastAsia" w:ascii="宋体" w:hAnsi="宋体" w:eastAsia="宋体" w:cs="宋体"/>
          <w:kern w:val="2"/>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2"/>
          <w:sz w:val="24"/>
          <w:szCs w:val="24"/>
          <w:highlight w:val="none"/>
        </w:rPr>
        <w:t xml:space="preserve">是否涉及绿色产品： </w:t>
      </w:r>
    </w:p>
    <w:p w14:paraId="6B149713">
      <w:pPr>
        <w:pStyle w:val="71"/>
        <w:spacing w:line="360" w:lineRule="auto"/>
        <w:ind w:firstLine="420" w:firstLineChars="0"/>
        <w:rPr>
          <w:rFonts w:hint="eastAsia" w:ascii="宋体" w:hAnsi="宋体" w:eastAsia="宋体" w:cs="宋体"/>
          <w:sz w:val="24"/>
          <w:szCs w:val="24"/>
          <w:highlight w:val="none"/>
          <w:u w:val="single"/>
        </w:rPr>
      </w:pP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是，绿色产品政府采购相关政策确定的底级品目名称：</w:t>
      </w:r>
      <w:r>
        <w:rPr>
          <w:rFonts w:hint="eastAsia" w:ascii="宋体" w:hAnsi="宋体" w:eastAsia="宋体" w:cs="宋体"/>
          <w:sz w:val="24"/>
          <w:szCs w:val="24"/>
          <w:highlight w:val="none"/>
          <w:u w:val="single"/>
        </w:rPr>
        <w:t xml:space="preserve">  /  </w:t>
      </w:r>
    </w:p>
    <w:p w14:paraId="2026FD5A">
      <w:pPr>
        <w:numPr>
          <w:ilvl w:val="255"/>
          <w:numId w:val="0"/>
        </w:numPr>
        <w:tabs>
          <w:tab w:val="left" w:pos="740"/>
        </w:tabs>
        <w:adjustRightInd w:val="0"/>
        <w:snapToGrid w:val="0"/>
        <w:spacing w:line="360" w:lineRule="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 xml:space="preserve">优先采购    </w:t>
      </w:r>
    </w:p>
    <w:p w14:paraId="6AA684B1">
      <w:pPr>
        <w:pStyle w:val="71"/>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否</w:t>
      </w:r>
    </w:p>
    <w:p w14:paraId="33B3F5A9">
      <w:pPr>
        <w:numPr>
          <w:ilvl w:val="255"/>
          <w:numId w:val="0"/>
        </w:num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val="en"/>
        </w:rPr>
        <w:t>1</w:t>
      </w:r>
      <w:r>
        <w:rPr>
          <w:rFonts w:hint="eastAsia" w:ascii="宋体" w:hAnsi="宋体" w:eastAsia="宋体" w:cs="宋体"/>
          <w:sz w:val="24"/>
          <w:szCs w:val="24"/>
          <w:highlight w:val="none"/>
        </w:rPr>
        <w:t>）涉及商品包装和快递包装的，是否参考《商品包装政府采购需求标准（试行）》、《快递包装政府采购需求标准（试行）》明确产品及相关快递服务的具体包装要求：</w:t>
      </w:r>
    </w:p>
    <w:p w14:paraId="2C87B778">
      <w:pPr>
        <w:numPr>
          <w:ilvl w:val="255"/>
          <w:numId w:val="0"/>
        </w:numPr>
        <w:adjustRightInd w:val="0"/>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否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不涉及</w:t>
      </w:r>
    </w:p>
    <w:p w14:paraId="5299F647">
      <w:pPr>
        <w:numPr>
          <w:ilvl w:val="0"/>
          <w:numId w:val="1"/>
        </w:num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5064E31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p>
    <w:p w14:paraId="07DB47DC">
      <w:pPr>
        <w:adjustRightInd w:val="0"/>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大写：</w:t>
      </w:r>
      <w:r>
        <w:rPr>
          <w:rFonts w:hint="eastAsia" w:ascii="宋体" w:hAnsi="宋体" w:eastAsia="宋体" w:cs="宋体"/>
          <w:sz w:val="24"/>
          <w:szCs w:val="24"/>
          <w:highlight w:val="none"/>
          <w:u w:val="single"/>
        </w:rPr>
        <w:t xml:space="preserve">                           </w:t>
      </w:r>
    </w:p>
    <w:p w14:paraId="3CCC765D">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分包金额（如有）小写：</w:t>
      </w:r>
      <w:r>
        <w:rPr>
          <w:rFonts w:hint="eastAsia" w:ascii="宋体" w:hAnsi="宋体" w:eastAsia="宋体" w:cs="宋体"/>
          <w:sz w:val="24"/>
          <w:szCs w:val="24"/>
          <w:highlight w:val="none"/>
          <w:u w:val="single"/>
        </w:rPr>
        <w:t xml:space="preserve">                   </w:t>
      </w:r>
    </w:p>
    <w:p w14:paraId="474F270B">
      <w:pPr>
        <w:adjustRightInd w:val="0"/>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大写：</w:t>
      </w:r>
      <w:r>
        <w:rPr>
          <w:rFonts w:hint="eastAsia" w:ascii="宋体" w:hAnsi="宋体" w:eastAsia="宋体" w:cs="宋体"/>
          <w:sz w:val="24"/>
          <w:szCs w:val="24"/>
          <w:highlight w:val="none"/>
          <w:u w:val="single"/>
        </w:rPr>
        <w:t xml:space="preserve">                       </w:t>
      </w:r>
    </w:p>
    <w:p w14:paraId="4ABAA564">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（注：固定单价合同应填写单价和最高限价）</w:t>
      </w:r>
    </w:p>
    <w:p w14:paraId="18DB5847">
      <w:pPr>
        <w:numPr>
          <w:ilvl w:val="255"/>
          <w:numId w:val="0"/>
        </w:num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（2）合同定价方式（采用组合定价方式的，可以勾选多项）：</w:t>
      </w:r>
    </w:p>
    <w:p w14:paraId="22A78C8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固定总价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 xml:space="preserve">固定单价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固定费率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成本补偿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绩效激励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其他</w:t>
      </w:r>
      <w:r>
        <w:rPr>
          <w:rFonts w:hint="eastAsia" w:ascii="宋体" w:hAnsi="宋体" w:eastAsia="宋体" w:cs="宋体"/>
          <w:sz w:val="24"/>
          <w:szCs w:val="24"/>
          <w:highlight w:val="none"/>
          <w:u w:val="single"/>
        </w:rPr>
        <w:t xml:space="preserve">       </w:t>
      </w:r>
    </w:p>
    <w:p w14:paraId="642F4E36">
      <w:pPr>
        <w:pStyle w:val="72"/>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（3）付款方式（按项目实际勾选填写）：</w:t>
      </w:r>
    </w:p>
    <w:p w14:paraId="03C9FBAF">
      <w:pPr>
        <w:adjustRightInd w:val="0"/>
        <w:snapToGrid w:val="0"/>
        <w:spacing w:line="360" w:lineRule="auto"/>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全额付款：</w:t>
      </w:r>
      <w:r>
        <w:rPr>
          <w:rFonts w:hint="eastAsia" w:ascii="宋体" w:hAnsi="宋体" w:eastAsia="宋体" w:cs="宋体"/>
          <w:sz w:val="24"/>
          <w:szCs w:val="24"/>
          <w:highlight w:val="none"/>
          <w:u w:val="single"/>
        </w:rPr>
        <w:t xml:space="preserve"> /  （应明确一次性支付合同款项的条件）                    </w:t>
      </w:r>
    </w:p>
    <w:p w14:paraId="326A5207">
      <w:pPr>
        <w:snapToGrid w:val="0"/>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分期付款：</w:t>
      </w:r>
      <w:r>
        <w:rPr>
          <w:rFonts w:hint="eastAsia" w:ascii="宋体" w:hAnsi="宋体" w:eastAsia="宋体" w:cs="宋体"/>
          <w:sz w:val="24"/>
          <w:szCs w:val="24"/>
          <w:highlight w:val="none"/>
          <w:u w:val="single"/>
        </w:rPr>
        <w:t xml:space="preserve">  合同、担保措施生效并具备实施条件后5个工作日内采购人向中标人支付预付款，预付款为合同价款的 40%（中标人须提交银行、保险公司、担保公司等金融机构出具的预付款保函（保函须使用见索即付型）或其他担保措施），</w:t>
      </w:r>
      <w:r>
        <w:rPr>
          <w:rFonts w:hint="eastAsia" w:ascii="宋体" w:hAnsi="宋体" w:eastAsia="宋体" w:cs="宋体"/>
          <w:sz w:val="24"/>
          <w:szCs w:val="24"/>
          <w:highlight w:val="none"/>
          <w:u w:val="single"/>
          <w:lang w:eastAsia="zh-CN"/>
        </w:rPr>
        <w:t>剩余价款按照供货分批次进行付款</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其中涉及预付款的：</w:t>
      </w:r>
      <w:r>
        <w:rPr>
          <w:rFonts w:hint="eastAsia" w:ascii="宋体" w:hAnsi="宋体" w:eastAsia="宋体" w:cs="宋体"/>
          <w:sz w:val="24"/>
          <w:szCs w:val="24"/>
          <w:highlight w:val="none"/>
          <w:u w:val="single"/>
        </w:rPr>
        <w:t xml:space="preserve"> 合同签订且具备实施条件后，支付合同价的40%预付款（预付款支付前，中标人须提供同等金额的见索即付保函）。 </w:t>
      </w:r>
    </w:p>
    <w:p w14:paraId="6EE14507">
      <w:pPr>
        <w:adjustRightInd w:val="0"/>
        <w:snapToGrid w:val="0"/>
        <w:spacing w:line="360" w:lineRule="auto"/>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成本补偿：</w:t>
      </w:r>
      <w:r>
        <w:rPr>
          <w:rFonts w:hint="eastAsia" w:ascii="宋体" w:hAnsi="宋体" w:eastAsia="宋体" w:cs="宋体"/>
          <w:sz w:val="24"/>
          <w:szCs w:val="24"/>
          <w:highlight w:val="none"/>
          <w:u w:val="single"/>
        </w:rPr>
        <w:t xml:space="preserve">  / （应明确按照成本补偿方式的支付方式和支付条件）   </w:t>
      </w:r>
    </w:p>
    <w:p w14:paraId="61621192">
      <w:pPr>
        <w:adjustRightInd w:val="0"/>
        <w:snapToGrid w:val="0"/>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绩效激励：</w:t>
      </w:r>
      <w:r>
        <w:rPr>
          <w:rFonts w:hint="eastAsia" w:ascii="宋体" w:hAnsi="宋体" w:eastAsia="宋体" w:cs="宋体"/>
          <w:sz w:val="24"/>
          <w:szCs w:val="24"/>
          <w:highlight w:val="none"/>
          <w:u w:val="single"/>
        </w:rPr>
        <w:t xml:space="preserve"> / （应明确按照绩效激励方式的支付方式和支付条件）   </w:t>
      </w:r>
    </w:p>
    <w:p w14:paraId="0619DCB2">
      <w:pPr>
        <w:numPr>
          <w:ilvl w:val="0"/>
          <w:numId w:val="1"/>
        </w:numPr>
        <w:adjustRightInd w:val="0"/>
        <w:snapToGrid w:val="0"/>
        <w:spacing w:line="360" w:lineRule="auto"/>
        <w:ind w:firstLine="482"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合同履行</w:t>
      </w:r>
    </w:p>
    <w:p w14:paraId="34F24BE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3D24707">
      <w:pPr>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（2）履约地点</w:t>
      </w:r>
      <w:r>
        <w:rPr>
          <w:rFonts w:hint="eastAsia" w:ascii="宋体" w:hAnsi="宋体" w:eastAsia="宋体" w:cs="宋体"/>
          <w:bCs/>
          <w:sz w:val="24"/>
          <w:szCs w:val="24"/>
          <w:highlight w:val="none"/>
        </w:rPr>
        <w:t>：</w:t>
      </w:r>
      <w:r>
        <w:rPr>
          <w:rFonts w:hint="eastAsia" w:ascii="宋体" w:hAnsi="宋体" w:eastAsia="宋体" w:cs="宋体"/>
          <w:sz w:val="24"/>
          <w:szCs w:val="24"/>
          <w:highlight w:val="none"/>
          <w:u w:val="single"/>
        </w:rPr>
        <w:t xml:space="preserve">                             </w:t>
      </w:r>
    </w:p>
    <w:p w14:paraId="1A49D7E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（3）履约担保：</w:t>
      </w:r>
      <w:r>
        <w:rPr>
          <w:rFonts w:hint="eastAsia" w:ascii="宋体" w:hAnsi="宋体" w:eastAsia="宋体" w:cs="宋体"/>
          <w:sz w:val="24"/>
          <w:szCs w:val="24"/>
          <w:highlight w:val="none"/>
        </w:rPr>
        <w:t>是否收取履约保证金：</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否</w:t>
      </w:r>
    </w:p>
    <w:p w14:paraId="17599260">
      <w:pPr>
        <w:pStyle w:val="71"/>
        <w:spacing w:line="360" w:lineRule="auto"/>
        <w:ind w:firstLine="480"/>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 xml:space="preserve">  收取履约保证金形式：</w:t>
      </w:r>
      <w:r>
        <w:rPr>
          <w:rFonts w:hint="eastAsia" w:ascii="宋体" w:hAnsi="宋体" w:eastAsia="宋体" w:cs="宋体"/>
          <w:bCs/>
          <w:sz w:val="24"/>
          <w:szCs w:val="24"/>
          <w:highlight w:val="none"/>
          <w:u w:val="single"/>
        </w:rPr>
        <w:t xml:space="preserve">       /                  </w:t>
      </w:r>
    </w:p>
    <w:p w14:paraId="2D09030B">
      <w:pPr>
        <w:pStyle w:val="71"/>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收取履约保证金金额：</w:t>
      </w:r>
      <w:r>
        <w:rPr>
          <w:rFonts w:hint="eastAsia" w:ascii="宋体" w:hAnsi="宋体" w:eastAsia="宋体" w:cs="宋体"/>
          <w:bCs/>
          <w:sz w:val="24"/>
          <w:szCs w:val="24"/>
          <w:highlight w:val="none"/>
          <w:u w:val="single"/>
        </w:rPr>
        <w:t xml:space="preserve">      /                    </w:t>
      </w:r>
    </w:p>
    <w:p w14:paraId="5A08576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    履约担保期限：</w:t>
      </w:r>
      <w:r>
        <w:rPr>
          <w:rFonts w:hint="eastAsia" w:ascii="宋体" w:hAnsi="宋体" w:eastAsia="宋体" w:cs="宋体"/>
          <w:bCs/>
          <w:sz w:val="24"/>
          <w:szCs w:val="24"/>
          <w:highlight w:val="none"/>
          <w:u w:val="single"/>
        </w:rPr>
        <w:t xml:space="preserve">            /                      </w:t>
      </w:r>
    </w:p>
    <w:p w14:paraId="5AE4329F">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（4）分期履行要求：</w:t>
      </w:r>
      <w:r>
        <w:rPr>
          <w:rFonts w:hint="eastAsia" w:ascii="宋体" w:hAnsi="宋体" w:eastAsia="宋体" w:cs="宋体"/>
          <w:bCs/>
          <w:sz w:val="24"/>
          <w:szCs w:val="24"/>
          <w:highlight w:val="none"/>
          <w:u w:val="single"/>
        </w:rPr>
        <w:t xml:space="preserve">            /                                 </w:t>
      </w:r>
    </w:p>
    <w:p w14:paraId="692048E4">
      <w:pPr>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bCs/>
          <w:sz w:val="24"/>
          <w:szCs w:val="24"/>
          <w:highlight w:val="none"/>
        </w:rPr>
        <w:t>（5）风险处置措施和替代方案：</w:t>
      </w:r>
      <w:r>
        <w:rPr>
          <w:rFonts w:hint="eastAsia" w:ascii="宋体" w:hAnsi="宋体" w:eastAsia="宋体" w:cs="宋体"/>
          <w:color w:val="0000FF"/>
          <w:sz w:val="24"/>
          <w:szCs w:val="24"/>
          <w:highlight w:val="none"/>
          <w:u w:val="singl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sz w:val="24"/>
          <w:szCs w:val="24"/>
          <w:highlight w:val="none"/>
          <w:u w:val="single"/>
        </w:rPr>
        <w:t xml:space="preserve">                                                </w:t>
      </w:r>
    </w:p>
    <w:p w14:paraId="22DE8D03">
      <w:pPr>
        <w:numPr>
          <w:ilvl w:val="0"/>
          <w:numId w:val="1"/>
        </w:num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561E3342">
      <w:pPr>
        <w:numPr>
          <w:ilvl w:val="0"/>
          <w:numId w:val="2"/>
        </w:num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1DFE129F">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验收主体：</w:t>
      </w:r>
      <w:r>
        <w:rPr>
          <w:rFonts w:hint="eastAsia" w:ascii="宋体" w:hAnsi="宋体" w:eastAsia="宋体" w:cs="宋体"/>
          <w:bCs/>
          <w:sz w:val="24"/>
          <w:szCs w:val="24"/>
          <w:highlight w:val="none"/>
          <w:u w:val="single"/>
        </w:rPr>
        <w:t xml:space="preserve"> 采购人  </w:t>
      </w:r>
    </w:p>
    <w:p w14:paraId="7364E3F4">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是否邀请本项目的其他供应商参加验收：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0BD9659C">
      <w:pPr>
        <w:adjustRightInd w:val="0"/>
        <w:snapToGrid w:val="0"/>
        <w:spacing w:line="360" w:lineRule="auto"/>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是否邀请专家参加验收：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364E9EA3">
      <w:pPr>
        <w:adjustRightInd w:val="0"/>
        <w:snapToGrid w:val="0"/>
        <w:spacing w:line="360" w:lineRule="auto"/>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是否邀请服务对象参加验收：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3B2B6538">
      <w:pPr>
        <w:adjustRightInd w:val="0"/>
        <w:snapToGrid w:val="0"/>
        <w:spacing w:line="360" w:lineRule="auto"/>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是否邀请第三方检测机构参加验收：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5BEE4195">
      <w:pPr>
        <w:adjustRightInd w:val="0"/>
        <w:snapToGrid w:val="0"/>
        <w:spacing w:line="360" w:lineRule="auto"/>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是否进行抽查检测：</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是，抽查比例：</w:t>
      </w:r>
      <w:r>
        <w:rPr>
          <w:rFonts w:hint="eastAsia" w:ascii="宋体" w:hAnsi="宋体" w:eastAsia="宋体" w:cs="宋体"/>
          <w:bCs/>
          <w:sz w:val="24"/>
          <w:szCs w:val="24"/>
          <w:highlight w:val="none"/>
          <w:u w:val="single"/>
        </w:rPr>
        <w:t xml:space="preserve"> /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05B27D59">
      <w:pPr>
        <w:adjustRightInd w:val="0"/>
        <w:snapToGrid w:val="0"/>
        <w:spacing w:line="360" w:lineRule="auto"/>
        <w:ind w:firstLine="960" w:firstLineChars="4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是否存在破坏性检测：</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u w:val="single"/>
        </w:rPr>
        <w:t>（应明确对被破坏的检测产品的处理方式）</w:t>
      </w:r>
    </w:p>
    <w:p w14:paraId="2BD56968">
      <w:pPr>
        <w:adjustRightInd w:val="0"/>
        <w:snapToGrid w:val="0"/>
        <w:spacing w:line="360" w:lineRule="auto"/>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09939CFE">
      <w:pPr>
        <w:adjustRightInd w:val="0"/>
        <w:snapToGrid w:val="0"/>
        <w:spacing w:line="360" w:lineRule="auto"/>
        <w:ind w:firstLine="960" w:firstLineChars="4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验收组织的其他事项：</w:t>
      </w:r>
      <w:r>
        <w:rPr>
          <w:rFonts w:hint="eastAsia" w:ascii="宋体" w:hAnsi="宋体" w:eastAsia="宋体" w:cs="宋体"/>
          <w:bCs/>
          <w:sz w:val="24"/>
          <w:szCs w:val="24"/>
          <w:highlight w:val="none"/>
          <w:u w:val="single"/>
        </w:rPr>
        <w:t xml:space="preserve">   /     </w:t>
      </w:r>
    </w:p>
    <w:p w14:paraId="08F50392">
      <w:pPr>
        <w:adjustRightInd w:val="0"/>
        <w:snapToGrid w:val="0"/>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（2）履约验收时间：</w:t>
      </w:r>
      <w:r>
        <w:rPr>
          <w:rFonts w:hint="eastAsia" w:ascii="宋体" w:hAnsi="宋体" w:eastAsia="宋体" w:cs="宋体"/>
          <w:bCs/>
          <w:sz w:val="24"/>
          <w:szCs w:val="24"/>
          <w:highlight w:val="none"/>
          <w:u w:val="single"/>
        </w:rPr>
        <w:t xml:space="preserve">供应商提出验收申请之日起7日内组织验收。 </w:t>
      </w:r>
    </w:p>
    <w:p w14:paraId="4197D0F0">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（3）履约验收方式：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一次性验收         </w:t>
      </w:r>
    </w:p>
    <w:p w14:paraId="405E45AF">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分期/分项验收：</w:t>
      </w:r>
      <w:r>
        <w:rPr>
          <w:rFonts w:hint="eastAsia" w:ascii="宋体" w:hAnsi="宋体" w:eastAsia="宋体" w:cs="宋体"/>
          <w:bCs/>
          <w:sz w:val="24"/>
          <w:szCs w:val="24"/>
          <w:highlight w:val="none"/>
          <w:u w:val="single"/>
        </w:rPr>
        <w:t xml:space="preserve"> （应明确分期</w:t>
      </w:r>
      <w:r>
        <w:rPr>
          <w:rFonts w:hint="eastAsia" w:ascii="宋体" w:hAnsi="宋体" w:eastAsia="宋体" w:cs="宋体"/>
          <w:bCs/>
          <w:sz w:val="24"/>
          <w:szCs w:val="24"/>
          <w:highlight w:val="none"/>
          <w:u w:val="single"/>
          <w:lang w:val="en"/>
        </w:rPr>
        <w:t>/分项验收的工作安排</w:t>
      </w:r>
      <w:r>
        <w:rPr>
          <w:rFonts w:hint="eastAsia" w:ascii="宋体" w:hAnsi="宋体" w:eastAsia="宋体" w:cs="宋体"/>
          <w:bCs/>
          <w:sz w:val="24"/>
          <w:szCs w:val="24"/>
          <w:highlight w:val="none"/>
          <w:u w:val="single"/>
        </w:rPr>
        <w:t xml:space="preserve">）  </w:t>
      </w:r>
    </w:p>
    <w:p w14:paraId="57276216">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（4）履约验收程序：</w:t>
      </w:r>
      <w:r>
        <w:rPr>
          <w:rFonts w:hint="eastAsia" w:ascii="宋体" w:hAnsi="宋体" w:eastAsia="宋体" w:cs="宋体"/>
          <w:bCs/>
          <w:sz w:val="24"/>
          <w:szCs w:val="24"/>
          <w:highlight w:val="none"/>
          <w:u w:val="single"/>
        </w:rPr>
        <w:t xml:space="preserve">         /                       </w:t>
      </w:r>
    </w:p>
    <w:p w14:paraId="60E46FB5">
      <w:pPr>
        <w:adjustRightInd w:val="0"/>
        <w:snapToGrid w:val="0"/>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（5）履约验收的内容：</w:t>
      </w:r>
      <w:r>
        <w:rPr>
          <w:rFonts w:hint="eastAsia" w:ascii="宋体" w:hAnsi="宋体" w:eastAsia="宋体" w:cs="宋体"/>
          <w:bCs/>
          <w:sz w:val="24"/>
          <w:szCs w:val="24"/>
          <w:highlight w:val="none"/>
          <w:u w:val="single"/>
        </w:rPr>
        <w:t xml:space="preserve"> 应当包括每一项技术和商务要求的履约情况，特别是落实政府采购扶持中小企业，支持绿色发展和乡村振兴等政策情况。                                    </w:t>
      </w:r>
    </w:p>
    <w:p w14:paraId="30E30009">
      <w:pPr>
        <w:adjustRightInd w:val="0"/>
        <w:snapToGrid w:val="0"/>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（6）履约验收标准：</w:t>
      </w:r>
      <w:r>
        <w:rPr>
          <w:rFonts w:hint="eastAsia" w:ascii="宋体" w:hAnsi="宋体" w:eastAsia="宋体" w:cs="宋体"/>
          <w:bCs/>
          <w:sz w:val="24"/>
          <w:szCs w:val="24"/>
          <w:highlight w:val="none"/>
          <w:u w:val="single"/>
        </w:rPr>
        <w:t xml:space="preserve">   符合国家标准                     </w:t>
      </w:r>
    </w:p>
    <w:p w14:paraId="0E55BEB2">
      <w:pPr>
        <w:pStyle w:val="71"/>
        <w:spacing w:line="360" w:lineRule="auto"/>
        <w:ind w:firstLine="480"/>
        <w:rPr>
          <w:rFonts w:hint="eastAsia" w:ascii="宋体" w:hAnsi="宋体" w:eastAsia="宋体" w:cs="宋体"/>
          <w:sz w:val="24"/>
          <w:szCs w:val="24"/>
          <w:highlight w:val="none"/>
        </w:rPr>
      </w:pPr>
      <w:r>
        <w:rPr>
          <w:rFonts w:hint="eastAsia" w:ascii="宋体" w:hAnsi="宋体" w:eastAsia="宋体" w:cs="宋体"/>
          <w:bCs/>
          <w:sz w:val="24"/>
          <w:szCs w:val="24"/>
          <w:highlight w:val="none"/>
        </w:rPr>
        <w:t>（7）是否以采购活动中供应商提供的样品作为参考：</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1BD9C475">
      <w:pPr>
        <w:adjustRightInd w:val="0"/>
        <w:snapToGrid w:val="0"/>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（8）履约验收其他事项：</w:t>
      </w:r>
      <w:r>
        <w:rPr>
          <w:rFonts w:hint="eastAsia" w:ascii="宋体" w:hAnsi="宋体" w:eastAsia="宋体" w:cs="宋体"/>
          <w:bCs/>
          <w:sz w:val="24"/>
          <w:szCs w:val="24"/>
          <w:highlight w:val="none"/>
          <w:u w:val="single"/>
        </w:rPr>
        <w:t xml:space="preserve">  / （产权过户登记等）          </w:t>
      </w:r>
    </w:p>
    <w:p w14:paraId="511B22D5">
      <w:pPr>
        <w:numPr>
          <w:ilvl w:val="0"/>
          <w:numId w:val="1"/>
        </w:num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2ED9DD8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30D86C66">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（1）政府采购合同协议书及其变更、补充协议</w:t>
      </w:r>
    </w:p>
    <w:p w14:paraId="05B527C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（2）政府采购合同专用条款</w:t>
      </w:r>
    </w:p>
    <w:p w14:paraId="581EF11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（3）政府采购合同通用条款</w:t>
      </w:r>
    </w:p>
    <w:p w14:paraId="0D036CD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（4）中标（成交）通知书</w:t>
      </w:r>
    </w:p>
    <w:p w14:paraId="4425568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（5）投标（响应）文件</w:t>
      </w:r>
    </w:p>
    <w:p w14:paraId="2C6E4730">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075EE09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7C7CF5B7">
      <w:pPr>
        <w:pStyle w:val="71"/>
        <w:spacing w:line="360" w:lineRule="auto"/>
        <w:ind w:firstLine="480"/>
        <w:rPr>
          <w:rFonts w:hint="eastAsia" w:ascii="宋体" w:hAnsi="宋体" w:eastAsia="宋体" w:cs="宋体"/>
          <w:kern w:val="2"/>
          <w:sz w:val="24"/>
          <w:szCs w:val="24"/>
          <w:highlight w:val="none"/>
        </w:rPr>
      </w:pPr>
      <w:r>
        <w:rPr>
          <w:rFonts w:hint="eastAsia" w:ascii="宋体" w:hAnsi="宋体" w:eastAsia="宋体" w:cs="宋体"/>
          <w:sz w:val="24"/>
          <w:szCs w:val="24"/>
          <w:highlight w:val="none"/>
        </w:rPr>
        <w:t>（8）</w:t>
      </w:r>
      <w:r>
        <w:rPr>
          <w:rFonts w:hint="eastAsia" w:ascii="宋体" w:hAnsi="宋体" w:eastAsia="宋体" w:cs="宋体"/>
          <w:color w:val="000000" w:themeColor="text1"/>
          <w:kern w:val="2"/>
          <w:sz w:val="24"/>
          <w:szCs w:val="24"/>
          <w:highlight w:val="none"/>
          <w14:textFill>
            <w14:solidFill>
              <w14:schemeClr w14:val="tx1"/>
            </w14:solidFill>
          </w14:textFill>
        </w:rPr>
        <w:t>国家法律、行政法规和规章制度规定或合同约定的作为合同组成部分的其他文件</w:t>
      </w:r>
    </w:p>
    <w:p w14:paraId="1B71EE76">
      <w:pPr>
        <w:numPr>
          <w:ilvl w:val="0"/>
          <w:numId w:val="1"/>
        </w:num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3B3AF7D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本合同自 </w:t>
      </w:r>
      <w:r>
        <w:rPr>
          <w:rFonts w:hint="eastAsia" w:ascii="宋体" w:hAnsi="宋体" w:eastAsia="宋体" w:cs="宋体"/>
          <w:sz w:val="24"/>
          <w:szCs w:val="24"/>
          <w:highlight w:val="none"/>
          <w:u w:val="single"/>
        </w:rPr>
        <w:t>双方签字盖章后</w:t>
      </w:r>
      <w:r>
        <w:rPr>
          <w:rFonts w:hint="eastAsia" w:ascii="宋体" w:hAnsi="宋体" w:eastAsia="宋体" w:cs="宋体"/>
          <w:sz w:val="24"/>
          <w:szCs w:val="24"/>
          <w:highlight w:val="none"/>
        </w:rPr>
        <w:t xml:space="preserve"> 生效。</w:t>
      </w:r>
    </w:p>
    <w:p w14:paraId="2B71493F">
      <w:pPr>
        <w:numPr>
          <w:ilvl w:val="0"/>
          <w:numId w:val="1"/>
        </w:num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5705247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陆</w:t>
      </w:r>
      <w:r>
        <w:rPr>
          <w:rFonts w:hint="eastAsia" w:ascii="宋体" w:hAnsi="宋体" w:eastAsia="宋体" w:cs="宋体"/>
          <w:sz w:val="24"/>
          <w:szCs w:val="24"/>
          <w:highlight w:val="none"/>
        </w:rPr>
        <w:t>份，甲方执</w:t>
      </w:r>
      <w:r>
        <w:rPr>
          <w:rFonts w:hint="eastAsia" w:ascii="宋体" w:hAnsi="宋体" w:eastAsia="宋体" w:cs="宋体"/>
          <w:sz w:val="24"/>
          <w:szCs w:val="24"/>
          <w:highlight w:val="none"/>
          <w:u w:val="single"/>
        </w:rPr>
        <w:t xml:space="preserve"> 三</w:t>
      </w:r>
      <w:r>
        <w:rPr>
          <w:rFonts w:hint="eastAsia" w:ascii="宋体" w:hAnsi="宋体" w:eastAsia="宋体" w:cs="宋体"/>
          <w:sz w:val="24"/>
          <w:szCs w:val="24"/>
          <w:highlight w:val="none"/>
        </w:rPr>
        <w:t>份，乙方执</w:t>
      </w:r>
      <w:r>
        <w:rPr>
          <w:rFonts w:hint="eastAsia" w:ascii="宋体" w:hAnsi="宋体" w:eastAsia="宋体" w:cs="宋体"/>
          <w:sz w:val="24"/>
          <w:szCs w:val="24"/>
          <w:highlight w:val="none"/>
          <w:u w:val="single"/>
        </w:rPr>
        <w:t xml:space="preserve"> 三 </w:t>
      </w:r>
      <w:r>
        <w:rPr>
          <w:rFonts w:hint="eastAsia" w:ascii="宋体" w:hAnsi="宋体" w:eastAsia="宋体" w:cs="宋体"/>
          <w:sz w:val="24"/>
          <w:szCs w:val="24"/>
          <w:highlight w:val="none"/>
        </w:rPr>
        <w:t>份，均具有同等法律效力。</w:t>
      </w:r>
    </w:p>
    <w:p w14:paraId="742DF69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64C1DF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合同订立地点：</w:t>
      </w:r>
      <w:r>
        <w:rPr>
          <w:rFonts w:hint="eastAsia" w:ascii="宋体" w:hAnsi="宋体" w:eastAsia="宋体" w:cs="宋体"/>
          <w:sz w:val="24"/>
          <w:szCs w:val="24"/>
          <w:highlight w:val="none"/>
          <w:u w:val="single"/>
        </w:rPr>
        <w:t xml:space="preserve">                           </w:t>
      </w:r>
    </w:p>
    <w:p w14:paraId="4ED9755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附件：具体标的及其技术要求和商务要求、联合协议、分包意向协议等。</w:t>
      </w:r>
    </w:p>
    <w:p w14:paraId="19E5E88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619EAAA">
      <w:pPr>
        <w:pStyle w:val="72"/>
        <w:spacing w:line="360" w:lineRule="auto"/>
        <w:ind w:firstLine="480"/>
        <w:rPr>
          <w:rFonts w:hint="eastAsia" w:ascii="宋体" w:hAnsi="宋体" w:eastAsia="宋体" w:cs="宋体"/>
          <w:sz w:val="24"/>
          <w:szCs w:val="24"/>
          <w:highlight w:val="none"/>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7"/>
      </w:tblGrid>
      <w:tr w14:paraId="6B8C9C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0A82CE4">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293ED66B">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056A87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593BD14">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7FD0A257">
            <w:pPr>
              <w:adjustRightInd w:val="0"/>
              <w:snapToGrid w:val="0"/>
              <w:spacing w:line="360" w:lineRule="auto"/>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99497FA">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611474B3">
            <w:pPr>
              <w:adjustRightInd w:val="0"/>
              <w:snapToGrid w:val="0"/>
              <w:spacing w:line="360" w:lineRule="auto"/>
              <w:jc w:val="center"/>
              <w:rPr>
                <w:rFonts w:hint="eastAsia" w:ascii="宋体" w:hAnsi="宋体" w:eastAsia="宋体" w:cs="宋体"/>
                <w:spacing w:val="20"/>
                <w:sz w:val="24"/>
                <w:szCs w:val="24"/>
                <w:highlight w:val="none"/>
              </w:rPr>
            </w:pPr>
          </w:p>
        </w:tc>
      </w:tr>
      <w:tr w14:paraId="44EBDC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10D5315">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38E131FD">
            <w:pPr>
              <w:adjustRightInd w:val="0"/>
              <w:snapToGrid w:val="0"/>
              <w:spacing w:line="360" w:lineRule="auto"/>
              <w:ind w:firstLine="115" w:firstLineChars="4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w:t>
            </w:r>
            <w:r>
              <w:rPr>
                <w:rFonts w:hint="eastAsia" w:ascii="宋体" w:hAnsi="宋体" w:eastAsia="宋体" w:cs="宋体"/>
                <w:sz w:val="24"/>
                <w:szCs w:val="24"/>
                <w:highlight w:val="none"/>
                <w:lang w:eastAsia="zh-CN"/>
              </w:rPr>
              <w:t>签字或盖章</w:t>
            </w:r>
            <w:r>
              <w:rPr>
                <w:rFonts w:hint="eastAsia" w:ascii="宋体" w:hAnsi="宋体" w:eastAsia="宋体" w:cs="宋体"/>
                <w:sz w:val="24"/>
                <w:szCs w:val="24"/>
                <w:highlight w:val="none"/>
              </w:rPr>
              <w:t>）</w:t>
            </w:r>
          </w:p>
        </w:tc>
        <w:tc>
          <w:tcPr>
            <w:tcW w:w="1436" w:type="pct"/>
            <w:vMerge w:val="restart"/>
            <w:tcBorders>
              <w:top w:val="single" w:color="auto" w:sz="2" w:space="0"/>
              <w:left w:val="single" w:color="auto" w:sz="2" w:space="0"/>
              <w:right w:val="single" w:color="auto" w:sz="2" w:space="0"/>
            </w:tcBorders>
            <w:vAlign w:val="center"/>
          </w:tcPr>
          <w:p w14:paraId="35E6C5C8">
            <w:pPr>
              <w:adjustRightInd w:val="0"/>
              <w:snapToGrid w:val="0"/>
              <w:spacing w:line="360" w:lineRule="auto"/>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3A705927">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4F95AA0A">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w:t>
            </w:r>
            <w:r>
              <w:rPr>
                <w:rFonts w:hint="eastAsia" w:ascii="宋体" w:hAnsi="宋体" w:eastAsia="宋体" w:cs="宋体"/>
                <w:sz w:val="24"/>
                <w:szCs w:val="24"/>
                <w:highlight w:val="none"/>
                <w:lang w:eastAsia="zh-CN"/>
              </w:rPr>
              <w:t>签字或盖章</w:t>
            </w:r>
            <w:r>
              <w:rPr>
                <w:rFonts w:hint="eastAsia" w:ascii="宋体" w:hAnsi="宋体" w:eastAsia="宋体" w:cs="宋体"/>
                <w:sz w:val="24"/>
                <w:szCs w:val="24"/>
                <w:highlight w:val="none"/>
              </w:rPr>
              <w:t>）</w:t>
            </w:r>
          </w:p>
        </w:tc>
        <w:tc>
          <w:tcPr>
            <w:tcW w:w="1259" w:type="pct"/>
            <w:tcBorders>
              <w:top w:val="single" w:color="auto" w:sz="2" w:space="0"/>
              <w:left w:val="single" w:color="auto" w:sz="2" w:space="0"/>
              <w:bottom w:val="single" w:color="auto" w:sz="2" w:space="0"/>
            </w:tcBorders>
            <w:vAlign w:val="center"/>
          </w:tcPr>
          <w:p w14:paraId="20A694E1">
            <w:pPr>
              <w:adjustRightInd w:val="0"/>
              <w:snapToGrid w:val="0"/>
              <w:spacing w:line="360" w:lineRule="auto"/>
              <w:jc w:val="center"/>
              <w:rPr>
                <w:rFonts w:hint="eastAsia" w:ascii="宋体" w:hAnsi="宋体" w:eastAsia="宋体" w:cs="宋体"/>
                <w:sz w:val="24"/>
                <w:szCs w:val="24"/>
                <w:highlight w:val="none"/>
              </w:rPr>
            </w:pPr>
          </w:p>
        </w:tc>
      </w:tr>
      <w:tr w14:paraId="2D9C4E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B662082">
            <w:pPr>
              <w:adjustRightInd w:val="0"/>
              <w:snapToGrid w:val="0"/>
              <w:spacing w:line="360" w:lineRule="auto"/>
              <w:jc w:val="center"/>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22856CE9">
            <w:pPr>
              <w:adjustRightInd w:val="0"/>
              <w:snapToGrid w:val="0"/>
              <w:spacing w:line="360" w:lineRule="auto"/>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93AB95">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拥有者性别</w:t>
            </w:r>
          </w:p>
        </w:tc>
        <w:tc>
          <w:tcPr>
            <w:tcW w:w="1259" w:type="pct"/>
            <w:tcBorders>
              <w:top w:val="single" w:color="auto" w:sz="2" w:space="0"/>
              <w:left w:val="single" w:color="auto" w:sz="2" w:space="0"/>
              <w:bottom w:val="single" w:color="auto" w:sz="2" w:space="0"/>
            </w:tcBorders>
            <w:vAlign w:val="center"/>
          </w:tcPr>
          <w:p w14:paraId="2684073A">
            <w:pPr>
              <w:adjustRightInd w:val="0"/>
              <w:snapToGrid w:val="0"/>
              <w:spacing w:line="360" w:lineRule="auto"/>
              <w:jc w:val="center"/>
              <w:rPr>
                <w:rFonts w:hint="eastAsia" w:ascii="宋体" w:hAnsi="宋体" w:eastAsia="宋体" w:cs="宋体"/>
                <w:spacing w:val="20"/>
                <w:sz w:val="24"/>
                <w:szCs w:val="24"/>
                <w:highlight w:val="none"/>
              </w:rPr>
            </w:pPr>
          </w:p>
        </w:tc>
      </w:tr>
      <w:tr w14:paraId="25F9A9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A49EC2">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089FE0FB">
            <w:pPr>
              <w:adjustRightInd w:val="0"/>
              <w:snapToGrid w:val="0"/>
              <w:spacing w:line="360" w:lineRule="auto"/>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485803">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住  所</w:t>
            </w:r>
          </w:p>
        </w:tc>
        <w:tc>
          <w:tcPr>
            <w:tcW w:w="1259" w:type="pct"/>
            <w:tcBorders>
              <w:top w:val="single" w:color="auto" w:sz="2" w:space="0"/>
              <w:left w:val="single" w:color="auto" w:sz="2" w:space="0"/>
              <w:bottom w:val="single" w:color="auto" w:sz="2" w:space="0"/>
            </w:tcBorders>
            <w:vAlign w:val="center"/>
          </w:tcPr>
          <w:p w14:paraId="3F29C519">
            <w:pPr>
              <w:adjustRightInd w:val="0"/>
              <w:snapToGrid w:val="0"/>
              <w:spacing w:line="360" w:lineRule="auto"/>
              <w:jc w:val="center"/>
              <w:rPr>
                <w:rFonts w:hint="eastAsia" w:ascii="宋体" w:hAnsi="宋体" w:eastAsia="宋体" w:cs="宋体"/>
                <w:spacing w:val="20"/>
                <w:sz w:val="24"/>
                <w:szCs w:val="24"/>
                <w:highlight w:val="none"/>
              </w:rPr>
            </w:pPr>
          </w:p>
        </w:tc>
      </w:tr>
      <w:tr w14:paraId="49DFB4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4FACDE">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9D3345A">
            <w:pPr>
              <w:adjustRightInd w:val="0"/>
              <w:snapToGrid w:val="0"/>
              <w:spacing w:line="360" w:lineRule="auto"/>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A26DA2C">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44D1A828">
            <w:pPr>
              <w:adjustRightInd w:val="0"/>
              <w:snapToGrid w:val="0"/>
              <w:spacing w:line="360" w:lineRule="auto"/>
              <w:jc w:val="center"/>
              <w:rPr>
                <w:rFonts w:hint="eastAsia" w:ascii="宋体" w:hAnsi="宋体" w:eastAsia="宋体" w:cs="宋体"/>
                <w:spacing w:val="20"/>
                <w:sz w:val="24"/>
                <w:szCs w:val="24"/>
                <w:highlight w:val="none"/>
              </w:rPr>
            </w:pPr>
          </w:p>
        </w:tc>
      </w:tr>
      <w:tr w14:paraId="09D4CC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3DD9843">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078FBBE">
            <w:pPr>
              <w:adjustRightInd w:val="0"/>
              <w:snapToGrid w:val="0"/>
              <w:spacing w:line="360" w:lineRule="auto"/>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E5E888">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1F858323">
            <w:pPr>
              <w:adjustRightInd w:val="0"/>
              <w:snapToGrid w:val="0"/>
              <w:spacing w:line="360" w:lineRule="auto"/>
              <w:jc w:val="center"/>
              <w:rPr>
                <w:rFonts w:hint="eastAsia" w:ascii="宋体" w:hAnsi="宋体" w:eastAsia="宋体" w:cs="宋体"/>
                <w:spacing w:val="20"/>
                <w:sz w:val="24"/>
                <w:szCs w:val="24"/>
                <w:highlight w:val="none"/>
              </w:rPr>
            </w:pPr>
          </w:p>
        </w:tc>
      </w:tr>
      <w:tr w14:paraId="72140F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2CDCC65">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29966CF">
            <w:pPr>
              <w:adjustRightInd w:val="0"/>
              <w:snapToGrid w:val="0"/>
              <w:spacing w:line="360" w:lineRule="auto"/>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B7CC200">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p>
        </w:tc>
        <w:tc>
          <w:tcPr>
            <w:tcW w:w="1259" w:type="pct"/>
            <w:tcBorders>
              <w:top w:val="single" w:color="auto" w:sz="2" w:space="0"/>
              <w:left w:val="single" w:color="auto" w:sz="2" w:space="0"/>
              <w:bottom w:val="single" w:color="auto" w:sz="2" w:space="0"/>
            </w:tcBorders>
            <w:vAlign w:val="center"/>
          </w:tcPr>
          <w:p w14:paraId="3130224A">
            <w:pPr>
              <w:adjustRightInd w:val="0"/>
              <w:snapToGrid w:val="0"/>
              <w:spacing w:line="360" w:lineRule="auto"/>
              <w:jc w:val="center"/>
              <w:rPr>
                <w:rFonts w:hint="eastAsia" w:ascii="宋体" w:hAnsi="宋体" w:eastAsia="宋体" w:cs="宋体"/>
                <w:spacing w:val="20"/>
                <w:sz w:val="24"/>
                <w:szCs w:val="24"/>
                <w:highlight w:val="none"/>
              </w:rPr>
            </w:pPr>
          </w:p>
        </w:tc>
      </w:tr>
      <w:tr w14:paraId="7616C5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6AFF86">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E43293A">
            <w:pPr>
              <w:adjustRightInd w:val="0"/>
              <w:snapToGrid w:val="0"/>
              <w:spacing w:line="360" w:lineRule="auto"/>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028DBDD">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606BA35A">
            <w:pPr>
              <w:adjustRightInd w:val="0"/>
              <w:snapToGrid w:val="0"/>
              <w:spacing w:line="360" w:lineRule="auto"/>
              <w:jc w:val="center"/>
              <w:rPr>
                <w:rFonts w:hint="eastAsia" w:ascii="宋体" w:hAnsi="宋体" w:eastAsia="宋体" w:cs="宋体"/>
                <w:spacing w:val="20"/>
                <w:sz w:val="24"/>
                <w:szCs w:val="24"/>
                <w:highlight w:val="none"/>
              </w:rPr>
            </w:pPr>
          </w:p>
        </w:tc>
      </w:tr>
      <w:tr w14:paraId="73D33D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D37CD6">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552DDAB">
            <w:pPr>
              <w:adjustRightInd w:val="0"/>
              <w:snapToGrid w:val="0"/>
              <w:spacing w:line="360" w:lineRule="auto"/>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9835ACB">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3F8C6322">
            <w:pPr>
              <w:adjustRightInd w:val="0"/>
              <w:snapToGrid w:val="0"/>
              <w:spacing w:line="360" w:lineRule="auto"/>
              <w:jc w:val="center"/>
              <w:rPr>
                <w:rFonts w:hint="eastAsia" w:ascii="宋体" w:hAnsi="宋体" w:eastAsia="宋体" w:cs="宋体"/>
                <w:spacing w:val="20"/>
                <w:sz w:val="24"/>
                <w:szCs w:val="24"/>
                <w:highlight w:val="none"/>
              </w:rPr>
            </w:pPr>
          </w:p>
        </w:tc>
      </w:tr>
      <w:tr w14:paraId="4AF06C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FDB5AC">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34097FA">
            <w:pPr>
              <w:adjustRightInd w:val="0"/>
              <w:snapToGrid w:val="0"/>
              <w:spacing w:line="360" w:lineRule="auto"/>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F2D50D">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1BBD05E1">
            <w:pPr>
              <w:adjustRightInd w:val="0"/>
              <w:snapToGrid w:val="0"/>
              <w:spacing w:line="360" w:lineRule="auto"/>
              <w:jc w:val="center"/>
              <w:rPr>
                <w:rFonts w:hint="eastAsia" w:ascii="宋体" w:hAnsi="宋体" w:eastAsia="宋体" w:cs="宋体"/>
                <w:spacing w:val="20"/>
                <w:sz w:val="24"/>
                <w:szCs w:val="24"/>
                <w:highlight w:val="none"/>
              </w:rPr>
            </w:pPr>
          </w:p>
        </w:tc>
      </w:tr>
      <w:tr w14:paraId="3346F4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1FDA75">
            <w:pPr>
              <w:adjustRightInd w:val="0"/>
              <w:snapToGrid w:val="0"/>
              <w:spacing w:line="360" w:lineRule="auto"/>
              <w:jc w:val="center"/>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99A7237">
            <w:pPr>
              <w:adjustRightInd w:val="0"/>
              <w:snapToGrid w:val="0"/>
              <w:spacing w:line="360" w:lineRule="auto"/>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386632E">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7953A0C1">
            <w:pPr>
              <w:adjustRightInd w:val="0"/>
              <w:snapToGrid w:val="0"/>
              <w:spacing w:line="360" w:lineRule="auto"/>
              <w:jc w:val="center"/>
              <w:rPr>
                <w:rFonts w:hint="eastAsia" w:ascii="宋体" w:hAnsi="宋体" w:eastAsia="宋体" w:cs="宋体"/>
                <w:spacing w:val="20"/>
                <w:sz w:val="24"/>
                <w:szCs w:val="24"/>
                <w:highlight w:val="none"/>
              </w:rPr>
            </w:pPr>
          </w:p>
        </w:tc>
      </w:tr>
      <w:tr w14:paraId="5FC0C4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0D65E9">
            <w:pPr>
              <w:adjustRightInd w:val="0"/>
              <w:snapToGrid w:val="0"/>
              <w:spacing w:line="360" w:lineRule="auto"/>
              <w:jc w:val="center"/>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B7E11B0">
            <w:pPr>
              <w:adjustRightInd w:val="0"/>
              <w:snapToGrid w:val="0"/>
              <w:spacing w:line="360" w:lineRule="auto"/>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0AB1814">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080D43F9">
            <w:pPr>
              <w:adjustRightInd w:val="0"/>
              <w:snapToGrid w:val="0"/>
              <w:spacing w:line="360" w:lineRule="auto"/>
              <w:jc w:val="center"/>
              <w:rPr>
                <w:rFonts w:hint="eastAsia" w:ascii="宋体" w:hAnsi="宋体" w:eastAsia="宋体" w:cs="宋体"/>
                <w:spacing w:val="20"/>
                <w:sz w:val="24"/>
                <w:szCs w:val="24"/>
                <w:highlight w:val="none"/>
              </w:rPr>
            </w:pPr>
          </w:p>
        </w:tc>
      </w:tr>
      <w:tr w14:paraId="2DC900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FF7FE6F">
            <w:pPr>
              <w:adjustRightInd w:val="0"/>
              <w:snapToGrid w:val="0"/>
              <w:spacing w:line="360" w:lineRule="auto"/>
              <w:jc w:val="center"/>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5957D81">
            <w:pPr>
              <w:adjustRightInd w:val="0"/>
              <w:snapToGrid w:val="0"/>
              <w:spacing w:line="360" w:lineRule="auto"/>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9B1022A">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5EADE1F6">
            <w:pPr>
              <w:adjustRightInd w:val="0"/>
              <w:snapToGrid w:val="0"/>
              <w:spacing w:line="360" w:lineRule="auto"/>
              <w:jc w:val="center"/>
              <w:rPr>
                <w:rFonts w:hint="eastAsia" w:ascii="宋体" w:hAnsi="宋体" w:eastAsia="宋体" w:cs="宋体"/>
                <w:spacing w:val="20"/>
                <w:sz w:val="24"/>
                <w:szCs w:val="24"/>
                <w:highlight w:val="none"/>
              </w:rPr>
            </w:pPr>
          </w:p>
        </w:tc>
      </w:tr>
      <w:tr w14:paraId="521D9E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0E68984">
            <w:pPr>
              <w:pStyle w:val="10"/>
              <w:adjustRightInd w:val="0"/>
              <w:snapToGrid w:val="0"/>
              <w:spacing w:before="156" w:beforeLines="50" w:after="0" w:line="360" w:lineRule="auto"/>
              <w:ind w:left="0" w:leftChars="0"/>
              <w:jc w:val="left"/>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注：涉及联合体或其他合同主体的信息应按上表格式加列。</w:t>
            </w:r>
          </w:p>
        </w:tc>
      </w:tr>
    </w:tbl>
    <w:p w14:paraId="2CC9EAC7">
      <w:pPr>
        <w:pStyle w:val="3"/>
        <w:adjustRightInd w:val="0"/>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br w:type="page"/>
      </w:r>
      <w:bookmarkStart w:id="61" w:name="_Toc17276"/>
      <w:bookmarkStart w:id="62" w:name="_Toc27624"/>
      <w:r>
        <w:rPr>
          <w:rFonts w:hint="eastAsia" w:cs="@仿宋_GB2312" w:asciiTheme="minorEastAsia" w:hAnsiTheme="minorEastAsia" w:eastAsiaTheme="minorEastAsia"/>
          <w:bCs w:val="0"/>
          <w:color w:val="000000" w:themeColor="text1"/>
          <w:sz w:val="24"/>
          <w:szCs w:val="20"/>
          <w:highlight w:val="none"/>
          <w14:textFill>
            <w14:solidFill>
              <w14:schemeClr w14:val="tx1"/>
            </w14:solidFill>
          </w14:textFill>
        </w:rPr>
        <w:t>第二节 政府采购合同通用条款</w:t>
      </w:r>
      <w:bookmarkEnd w:id="61"/>
      <w:bookmarkEnd w:id="62"/>
    </w:p>
    <w:p w14:paraId="6085C6D2">
      <w:pPr>
        <w:tabs>
          <w:tab w:val="left" w:pos="8820"/>
          <w:tab w:val="left" w:pos="9345"/>
          <w:tab w:val="left" w:pos="9765"/>
        </w:tabs>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rPr>
        <w:t xml:space="preserve">1. </w:t>
      </w:r>
      <w:r>
        <w:rPr>
          <w:rFonts w:hint="eastAsia" w:ascii="宋体" w:hAnsi="宋体" w:eastAsia="宋体" w:cs="宋体"/>
          <w:b/>
          <w:bCs/>
          <w:sz w:val="24"/>
          <w:szCs w:val="24"/>
          <w:highlight w:val="none"/>
        </w:rPr>
        <w:t>定义</w:t>
      </w:r>
    </w:p>
    <w:p w14:paraId="4F501022">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1.1合同当事人</w:t>
      </w:r>
    </w:p>
    <w:p w14:paraId="091DC345">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（1）采购人（以下称甲方）是指使用财政性资金，通过政府采购方式向供应商购买货物及其相关服务的国家机关、事业单位、团体组织。</w:t>
      </w:r>
    </w:p>
    <w:p w14:paraId="090EBFAC">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（2）供应商（以下称乙方）是指参加政府采购活动并且中标（成交），向采购人提供合同约定的货物及其相关服务的法人、非法人组织或者自然人。</w:t>
      </w:r>
    </w:p>
    <w:p w14:paraId="7BD97D07">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（3）其他合同主体是指除采购人和供应商以外，</w:t>
      </w:r>
      <w:r>
        <w:rPr>
          <w:rFonts w:hint="eastAsia" w:ascii="宋体" w:hAnsi="宋体" w:eastAsia="宋体" w:cs="宋体"/>
          <w:bCs/>
          <w:color w:val="000000" w:themeColor="text1"/>
          <w:sz w:val="24"/>
          <w:szCs w:val="24"/>
          <w:highlight w:val="none"/>
          <w14:textFill>
            <w14:solidFill>
              <w14:schemeClr w14:val="tx1"/>
            </w14:solidFill>
          </w14:textFill>
        </w:rPr>
        <w:t>依法参与合同缔结或履行，享有权利、承担义务的合同当事人</w:t>
      </w:r>
      <w:r>
        <w:rPr>
          <w:rFonts w:hint="eastAsia" w:ascii="宋体" w:hAnsi="宋体" w:eastAsia="宋体" w:cs="宋体"/>
          <w:sz w:val="24"/>
          <w:szCs w:val="24"/>
          <w:highlight w:val="none"/>
        </w:rPr>
        <w:t>。</w:t>
      </w:r>
    </w:p>
    <w:p w14:paraId="62DFD76C">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1.2本合同下列术语应解释为：</w:t>
      </w:r>
    </w:p>
    <w:p w14:paraId="79628F49">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（1）“合同”系指</w:t>
      </w:r>
      <w:r>
        <w:rPr>
          <w:rFonts w:hint="eastAsia" w:ascii="宋体" w:hAnsi="宋体" w:eastAsia="宋体" w:cs="宋体"/>
          <w:bCs/>
          <w:color w:val="000000" w:themeColor="text1"/>
          <w:sz w:val="24"/>
          <w:szCs w:val="24"/>
          <w:highlight w:val="none"/>
          <w14:textFill>
            <w14:solidFill>
              <w14:schemeClr w14:val="tx1"/>
            </w14:solidFill>
          </w14:textFill>
        </w:rPr>
        <w:t>合同当事人意思表示达成一致的任何协议，包括签署的</w:t>
      </w:r>
      <w:r>
        <w:rPr>
          <w:rFonts w:hint="eastAsia" w:ascii="宋体" w:hAnsi="宋体" w:eastAsia="宋体" w:cs="宋体"/>
          <w:sz w:val="24"/>
          <w:szCs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themeColor="text1"/>
          <w:sz w:val="24"/>
          <w:szCs w:val="24"/>
          <w:highlight w:val="none"/>
          <w14:textFill>
            <w14:solidFill>
              <w14:schemeClr w14:val="tx1"/>
            </w14:solidFill>
          </w14:textFill>
        </w:rPr>
        <w:t>国家法律、行政法规和规章制度规定或合同约定的作为合同组成部分的其他文件</w:t>
      </w:r>
      <w:r>
        <w:rPr>
          <w:rFonts w:hint="eastAsia" w:ascii="宋体" w:hAnsi="宋体" w:eastAsia="宋体" w:cs="宋体"/>
          <w:sz w:val="24"/>
          <w:szCs w:val="24"/>
          <w:highlight w:val="none"/>
        </w:rPr>
        <w:t>。</w:t>
      </w:r>
    </w:p>
    <w:p w14:paraId="65E5C099">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（2）“合同价款”系指根据本合同规定乙方在全面履行合同义务后甲方应支付给乙方的价款。</w:t>
      </w:r>
    </w:p>
    <w:p w14:paraId="706A65DB">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（3）“货物”系指乙方根据本合同规定须向甲方提供的各种形态和种类的物品，包括原材料、设备、产品（</w:t>
      </w:r>
      <w:r>
        <w:rPr>
          <w:rFonts w:hint="eastAsia" w:ascii="宋体" w:hAnsi="宋体" w:eastAsia="宋体" w:cs="宋体"/>
          <w:color w:val="000000" w:themeColor="text1"/>
          <w:sz w:val="24"/>
          <w:szCs w:val="24"/>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技术资料和材料等。</w:t>
      </w:r>
    </w:p>
    <w:p w14:paraId="26421F1D">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sz w:val="24"/>
          <w:szCs w:val="24"/>
          <w:highlight w:val="none"/>
        </w:rPr>
        <w:t>相关</w:t>
      </w:r>
      <w:r>
        <w:rPr>
          <w:rFonts w:hint="eastAsia" w:ascii="宋体" w:hAnsi="宋体" w:eastAsia="宋体" w:cs="宋体"/>
          <w:color w:val="000000" w:themeColor="text1"/>
          <w:sz w:val="24"/>
          <w:szCs w:val="24"/>
          <w:highlight w:val="none"/>
          <w14:textFill>
            <w14:solidFill>
              <w14:schemeClr w14:val="tx1"/>
            </w14:solidFill>
          </w14:textFill>
        </w:rPr>
        <w:t>服务”系指根据合同规定，乙方应提供的与货物有关的技术、管理和</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义务。</w:t>
      </w:r>
    </w:p>
    <w:p w14:paraId="55D51407">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57B1EF61">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sz w:val="24"/>
          <w:szCs w:val="24"/>
          <w:highlight w:val="none"/>
        </w:rPr>
        <w:t>“联合体”系指由两个以上的自然人、法人或者非法人组织组成，以一个供应商的身份共同参加政府采购的主体</w:t>
      </w:r>
      <w:r>
        <w:rPr>
          <w:rFonts w:hint="eastAsia" w:ascii="宋体" w:hAnsi="宋体" w:eastAsia="宋体" w:cs="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021CE0C4">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（7）其他术语解释，见【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00161E03">
      <w:pPr>
        <w:numPr>
          <w:ilvl w:val="0"/>
          <w:numId w:val="3"/>
        </w:num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合同标的及金额</w:t>
      </w:r>
    </w:p>
    <w:p w14:paraId="48AC566F">
      <w:pPr>
        <w:autoSpaceDE w:val="0"/>
        <w:autoSpaceDN w:val="0"/>
        <w:adjustRightInd w:val="0"/>
        <w:snapToGrid w:val="0"/>
        <w:spacing w:line="360" w:lineRule="auto"/>
        <w:ind w:firstLine="480" w:firstLineChars="200"/>
        <w:jc w:val="left"/>
        <w:rPr>
          <w:rFonts w:hint="eastAsia" w:ascii="宋体" w:hAnsi="宋体" w:eastAsia="宋体" w:cs="宋体"/>
          <w:b/>
          <w:bCs/>
          <w:i/>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任何费用。</w:t>
      </w:r>
    </w:p>
    <w:p w14:paraId="5709BA92">
      <w:pPr>
        <w:adjustRightInd w:val="0"/>
        <w:snapToGri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 履行合同的时间、地点和方式</w:t>
      </w:r>
    </w:p>
    <w:p w14:paraId="5EF624D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3.1 </w:t>
      </w:r>
      <w:r>
        <w:rPr>
          <w:rFonts w:hint="eastAsia" w:ascii="宋体" w:hAnsi="宋体" w:eastAsia="宋体" w:cs="宋体"/>
          <w:sz w:val="24"/>
          <w:szCs w:val="24"/>
          <w:highlight w:val="none"/>
        </w:rPr>
        <w:t>乙方应当在约定的时间、地点，按照约定方式履行合同。</w:t>
      </w:r>
    </w:p>
    <w:p w14:paraId="019E01B2">
      <w:p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 甲方的权利和义务</w:t>
      </w:r>
    </w:p>
    <w:p w14:paraId="008DF5BE">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2D4DD81E">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5CF24C7C">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 甲方有权要求乙方对缺陷部分予以修复，并按合同约定享有货物保修及其他合同约定的权利。</w:t>
      </w:r>
    </w:p>
    <w:p w14:paraId="1522F80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4.4 甲方应当按照合同约定及时对交付的货物进行验收，</w:t>
      </w:r>
      <w:r>
        <w:rPr>
          <w:rFonts w:hint="eastAsia" w:ascii="宋体" w:hAnsi="宋体" w:eastAsia="宋体" w:cs="宋体"/>
          <w:sz w:val="24"/>
          <w:szCs w:val="24"/>
          <w:highlight w:val="none"/>
        </w:rPr>
        <w:t>未</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约定的期限内对乙方履约提出任何异议或者向乙方作出任何说明的，</w:t>
      </w:r>
      <w:r>
        <w:rPr>
          <w:rFonts w:hint="eastAsia" w:ascii="宋体" w:hAnsi="宋体" w:eastAsia="宋体" w:cs="宋体"/>
          <w:color w:val="000000" w:themeColor="text1"/>
          <w:sz w:val="24"/>
          <w:szCs w:val="24"/>
          <w:highlight w:val="none"/>
          <w14:textFill>
            <w14:solidFill>
              <w14:schemeClr w14:val="tx1"/>
            </w14:solidFill>
          </w14:textFill>
        </w:rPr>
        <w:t>视为验收通过。</w:t>
      </w:r>
    </w:p>
    <w:p w14:paraId="268D1EC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4.5 甲方应当根据合同约定及时向乙方支付合同价款，不得以内部人员变更、履行内部付款流程等为由，拒绝或迟延支付。</w:t>
      </w:r>
    </w:p>
    <w:p w14:paraId="7DBCA68A">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4.6 国家法律法规规定及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约定应由甲方承担的其他义务和责任。</w:t>
      </w:r>
    </w:p>
    <w:p w14:paraId="3E0D08C0">
      <w:p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 乙方的权利和义务</w:t>
      </w:r>
    </w:p>
    <w:p w14:paraId="602E6B3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签署合同后，乙方应确定项目负责人（或项目联系人），负责与本合同有关的事务。</w:t>
      </w:r>
    </w:p>
    <w:p w14:paraId="2FB5955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F7ED033">
      <w:pPr>
        <w:pStyle w:val="9"/>
        <w:spacing w:after="0" w:line="360" w:lineRule="auto"/>
        <w:ind w:firstLine="422" w:firstLineChars="17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5.3乙方有权根据合同约定向甲方收取合同价款。</w:t>
      </w:r>
    </w:p>
    <w:p w14:paraId="20425F81">
      <w:pPr>
        <w:pStyle w:val="9"/>
        <w:spacing w:after="0" w:line="360" w:lineRule="auto"/>
        <w:ind w:firstLine="422" w:firstLineChars="17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5.4国家法律法规规定及</w:t>
      </w:r>
      <w:r>
        <w:rPr>
          <w:rFonts w:hint="eastAsia" w:ascii="宋体" w:hAnsi="宋体" w:eastAsia="宋体" w:cs="宋体"/>
          <w:b/>
          <w:bCs/>
          <w:sz w:val="24"/>
          <w:highlight w:val="none"/>
        </w:rPr>
        <w:t>【政府采购合同专用条款】</w:t>
      </w:r>
      <w:r>
        <w:rPr>
          <w:rFonts w:hint="eastAsia" w:ascii="宋体" w:hAnsi="宋体" w:eastAsia="宋体" w:cs="宋体"/>
          <w:sz w:val="24"/>
          <w:highlight w:val="none"/>
        </w:rPr>
        <w:t>约定应</w:t>
      </w:r>
      <w:r>
        <w:rPr>
          <w:rFonts w:hint="eastAsia" w:ascii="宋体" w:hAnsi="宋体" w:eastAsia="宋体" w:cs="宋体"/>
          <w:color w:val="000000" w:themeColor="text1"/>
          <w:sz w:val="24"/>
          <w:highlight w:val="none"/>
          <w14:textFill>
            <w14:solidFill>
              <w14:schemeClr w14:val="tx1"/>
            </w14:solidFill>
          </w14:textFill>
        </w:rPr>
        <w:t>由乙方承担的其他义务和责任。</w:t>
      </w:r>
    </w:p>
    <w:p w14:paraId="798DD13A">
      <w:pPr>
        <w:numPr>
          <w:ilvl w:val="0"/>
          <w:numId w:val="4"/>
        </w:num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合同履行</w:t>
      </w:r>
    </w:p>
    <w:p w14:paraId="26045BA1">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约定顺序履行合同义务；如果没有先后顺序的，应当同时履行。</w:t>
      </w:r>
    </w:p>
    <w:p w14:paraId="111D5A5B">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69222C4C">
      <w:pPr>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 货物包装、运输、保险和交付要求</w:t>
      </w:r>
    </w:p>
    <w:p w14:paraId="7F61CEF5">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 本合同</w:t>
      </w:r>
      <w:r>
        <w:rPr>
          <w:rFonts w:hint="eastAsia" w:ascii="宋体" w:hAnsi="宋体" w:eastAsia="宋体" w:cs="宋体"/>
          <w:bCs/>
          <w:color w:val="000000" w:themeColor="text1"/>
          <w:sz w:val="24"/>
          <w:szCs w:val="24"/>
          <w:highlight w:val="none"/>
          <w14:textFill>
            <w14:solidFill>
              <w14:schemeClr w14:val="tx1"/>
            </w14:solidFill>
          </w14:textFill>
        </w:rPr>
        <w:t>涉及商品包装、快递包装的，</w:t>
      </w:r>
      <w:r>
        <w:rPr>
          <w:rFonts w:hint="eastAsia" w:ascii="宋体" w:hAnsi="宋体" w:eastAsia="宋体" w:cs="宋体"/>
          <w:color w:val="000000" w:themeColor="text1"/>
          <w:sz w:val="24"/>
          <w:szCs w:val="24"/>
          <w:highlight w:val="none"/>
          <w14:textFill>
            <w14:solidFill>
              <w14:schemeClr w14:val="tx1"/>
            </w14:solidFill>
          </w14:textFill>
        </w:rPr>
        <w:t>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另有约定外，</w:t>
      </w:r>
      <w:r>
        <w:rPr>
          <w:rFonts w:hint="eastAsia" w:ascii="宋体" w:hAnsi="宋体" w:eastAsia="宋体" w:cs="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约定的</w:t>
      </w:r>
      <w:r>
        <w:rPr>
          <w:rFonts w:hint="eastAsia" w:ascii="宋体" w:hAnsi="宋体" w:eastAsia="宋体" w:cs="宋体"/>
          <w:color w:val="000000" w:themeColor="text1"/>
          <w:sz w:val="24"/>
          <w:szCs w:val="24"/>
          <w:highlight w:val="none"/>
          <w14:textFill>
            <w14:solidFill>
              <w14:schemeClr w14:val="tx1"/>
            </w14:solidFill>
          </w14:textFill>
        </w:rPr>
        <w:t>指定现场。</w:t>
      </w:r>
    </w:p>
    <w:p w14:paraId="052E10D5">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 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另有约定外，</w:t>
      </w:r>
      <w:r>
        <w:rPr>
          <w:rFonts w:hint="eastAsia" w:ascii="宋体" w:hAnsi="宋体" w:eastAsia="宋体" w:cs="宋体"/>
          <w:color w:val="000000" w:themeColor="text1"/>
          <w:sz w:val="24"/>
          <w:szCs w:val="24"/>
          <w:highlight w:val="none"/>
          <w14:textFill>
            <w14:solidFill>
              <w14:schemeClr w14:val="tx1"/>
            </w14:solidFill>
          </w14:textFill>
        </w:rPr>
        <w:t>乙方负责办理将货物运抵本合同规定的交货地点，并装卸、交付至甲方的一切运输事项，相关费用应包含在合同价款中。</w:t>
      </w:r>
    </w:p>
    <w:p w14:paraId="68481373">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 货物保险要求按</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规定执行</w:t>
      </w:r>
      <w:r>
        <w:rPr>
          <w:rFonts w:hint="eastAsia" w:ascii="宋体" w:hAnsi="宋体" w:eastAsia="宋体" w:cs="宋体"/>
          <w:color w:val="000000" w:themeColor="text1"/>
          <w:sz w:val="24"/>
          <w:szCs w:val="24"/>
          <w:highlight w:val="none"/>
          <w14:textFill>
            <w14:solidFill>
              <w14:schemeClr w14:val="tx1"/>
            </w14:solidFill>
          </w14:textFill>
        </w:rPr>
        <w:t>。</w:t>
      </w:r>
    </w:p>
    <w:p w14:paraId="75A3ED93">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92F5B5F">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7.5 </w:t>
      </w:r>
      <w:r>
        <w:rPr>
          <w:rFonts w:hint="eastAsia" w:ascii="宋体" w:hAnsi="宋体" w:eastAsia="宋体" w:cs="宋体"/>
          <w:color w:val="000000"/>
          <w:sz w:val="24"/>
          <w:szCs w:val="24"/>
          <w:highlight w:val="none"/>
        </w:rPr>
        <w:t>乙方在运输到达之前应提前通知甲方，并提示货物运输装卸的注意事项，甲方配合乙方做好货物的接收工作。</w:t>
      </w:r>
    </w:p>
    <w:p w14:paraId="2D36B022">
      <w:pPr>
        <w:pStyle w:val="71"/>
        <w:spacing w:line="360" w:lineRule="auto"/>
        <w:ind w:firstLine="480"/>
        <w:rPr>
          <w:rFonts w:hint="eastAsia" w:ascii="宋体" w:hAnsi="宋体" w:eastAsia="宋体" w:cs="宋体"/>
          <w:sz w:val="24"/>
          <w:szCs w:val="24"/>
          <w:highlight w:val="none"/>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7.6 </w:t>
      </w:r>
      <w:r>
        <w:rPr>
          <w:rFonts w:hint="eastAsia" w:ascii="宋体" w:hAnsi="宋体" w:eastAsia="宋体" w:cs="宋体"/>
          <w:color w:val="000000"/>
          <w:kern w:val="2"/>
          <w:sz w:val="24"/>
          <w:szCs w:val="24"/>
          <w:highlight w:val="none"/>
        </w:rPr>
        <w:t>如因包装、运输问题导致货物</w:t>
      </w:r>
      <w:r>
        <w:rPr>
          <w:rFonts w:hint="eastAsia" w:ascii="宋体" w:hAnsi="宋体" w:eastAsia="宋体" w:cs="宋体"/>
          <w:color w:val="000000" w:themeColor="text1"/>
          <w:kern w:val="2"/>
          <w:sz w:val="24"/>
          <w:szCs w:val="24"/>
          <w:highlight w:val="none"/>
          <w14:textFill>
            <w14:solidFill>
              <w14:schemeClr w14:val="tx1"/>
            </w14:solidFill>
          </w14:textFill>
        </w:rPr>
        <w:t>损毁、丢失</w:t>
      </w:r>
      <w:r>
        <w:rPr>
          <w:rFonts w:hint="eastAsia" w:ascii="宋体" w:hAnsi="宋体" w:eastAsia="宋体" w:cs="宋体"/>
          <w:color w:val="000000"/>
          <w:kern w:val="2"/>
          <w:sz w:val="24"/>
          <w:szCs w:val="24"/>
          <w:highlight w:val="none"/>
        </w:rPr>
        <w:t>或者品质下降，甲方有权要求降价、换货、拒收部分或整批货物，由此产生的费用和损失，均由乙方承担。</w:t>
      </w:r>
    </w:p>
    <w:p w14:paraId="00B863AD">
      <w:pPr>
        <w:adjustRightInd w:val="0"/>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color w:val="000000" w:themeColor="text1"/>
          <w:sz w:val="24"/>
          <w:szCs w:val="24"/>
          <w:highlight w:val="none"/>
          <w14:textFill>
            <w14:solidFill>
              <w14:schemeClr w14:val="tx1"/>
            </w14:solidFill>
          </w14:textFill>
        </w:rPr>
        <w:t xml:space="preserve">8. </w:t>
      </w:r>
      <w:r>
        <w:rPr>
          <w:rFonts w:hint="eastAsia" w:ascii="宋体" w:hAnsi="宋体" w:eastAsia="宋体" w:cs="宋体"/>
          <w:b/>
          <w:sz w:val="24"/>
          <w:szCs w:val="24"/>
          <w:highlight w:val="none"/>
        </w:rPr>
        <w:t>质量标准和保证</w:t>
      </w:r>
    </w:p>
    <w:p w14:paraId="1BB2EFFD">
      <w:pPr>
        <w:pStyle w:val="12"/>
        <w:adjustRightInd w:val="0"/>
        <w:snapToGrid w:val="0"/>
        <w:spacing w:line="360" w:lineRule="auto"/>
        <w:ind w:firstLine="480" w:firstLineChars="200"/>
        <w:jc w:val="left"/>
        <w:rPr>
          <w:rFonts w:hint="eastAsia" w:hAnsi="宋体" w:eastAsia="宋体" w:cs="宋体"/>
          <w:b/>
          <w:sz w:val="24"/>
          <w:szCs w:val="24"/>
          <w:highlight w:val="none"/>
        </w:rPr>
      </w:pPr>
      <w:r>
        <w:rPr>
          <w:rFonts w:hint="eastAsia" w:hAnsi="宋体" w:eastAsia="宋体" w:cs="宋体"/>
          <w:sz w:val="24"/>
          <w:szCs w:val="24"/>
          <w:highlight w:val="none"/>
        </w:rPr>
        <w:t>8.1 质量标准</w:t>
      </w:r>
    </w:p>
    <w:p w14:paraId="3D0F9949">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（1）本合同下提供的货物应符合合同</w:t>
      </w:r>
      <w:r>
        <w:rPr>
          <w:rFonts w:hint="eastAsia" w:ascii="宋体" w:hAnsi="宋体" w:eastAsia="宋体" w:cs="宋体"/>
          <w:color w:val="000000"/>
          <w:sz w:val="24"/>
          <w:szCs w:val="24"/>
          <w:highlight w:val="none"/>
        </w:rPr>
        <w:t>约定的</w:t>
      </w:r>
      <w:r>
        <w:rPr>
          <w:rFonts w:hint="eastAsia" w:ascii="宋体" w:hAnsi="宋体" w:eastAsia="宋体" w:cs="宋体"/>
          <w:sz w:val="24"/>
          <w:szCs w:val="24"/>
          <w:highlight w:val="none"/>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2862583">
      <w:pPr>
        <w:pStyle w:val="12"/>
        <w:adjustRightInd w:val="0"/>
        <w:snapToGrid w:val="0"/>
        <w:spacing w:line="360" w:lineRule="auto"/>
        <w:ind w:firstLine="480" w:firstLineChars="200"/>
        <w:jc w:val="left"/>
        <w:rPr>
          <w:rFonts w:hint="eastAsia" w:hAnsi="宋体" w:eastAsia="宋体" w:cs="宋体"/>
          <w:sz w:val="24"/>
          <w:szCs w:val="24"/>
          <w:highlight w:val="none"/>
        </w:rPr>
      </w:pPr>
      <w:r>
        <w:rPr>
          <w:rFonts w:hint="eastAsia" w:hAnsi="宋体" w:eastAsia="宋体" w:cs="宋体"/>
          <w:sz w:val="24"/>
          <w:szCs w:val="24"/>
          <w:highlight w:val="none"/>
        </w:rPr>
        <w:t>（2）采用中华人民共和国法定计量单位。</w:t>
      </w:r>
    </w:p>
    <w:p w14:paraId="4FD31217">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（3）乙方所提供的货物应符合国家有关安全、环保、卫生的规定。</w:t>
      </w:r>
    </w:p>
    <w:p w14:paraId="4C3EACB1">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435EEF9A">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8.2 保证</w:t>
      </w:r>
    </w:p>
    <w:p w14:paraId="69A017DD">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规定或乙方书面承诺（两者以较长的为准）的质量保证期内，本保证保持有效。</w:t>
      </w:r>
    </w:p>
    <w:p w14:paraId="4DB3C265">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（2）在质量保证期内所发现的缺陷，甲方应尽快以书面形式通知乙方。</w:t>
      </w:r>
    </w:p>
    <w:p w14:paraId="71765A82">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（3）乙方收到通知后，应在</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规定的响应时间内以合理的速度免费维修或更换有缺陷的货物或部件。</w:t>
      </w:r>
    </w:p>
    <w:p w14:paraId="38972B24">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sz w:val="24"/>
          <w:szCs w:val="24"/>
          <w:highlight w:val="none"/>
        </w:rPr>
        <w:t>.1条规定以书面形式</w:t>
      </w:r>
      <w:r>
        <w:rPr>
          <w:rFonts w:hint="eastAsia" w:ascii="宋体" w:hAnsi="宋体" w:eastAsia="宋体" w:cs="宋体"/>
          <w:color w:val="000000" w:themeColor="text1"/>
          <w:sz w:val="24"/>
          <w:szCs w:val="24"/>
          <w:highlight w:val="none"/>
          <w14:textFill>
            <w14:solidFill>
              <w14:schemeClr w14:val="tx1"/>
            </w14:solidFill>
          </w14:textFill>
        </w:rPr>
        <w:t>追究</w:t>
      </w:r>
      <w:r>
        <w:rPr>
          <w:rFonts w:hint="eastAsia" w:ascii="宋体" w:hAnsi="宋体" w:eastAsia="宋体" w:cs="宋体"/>
          <w:sz w:val="24"/>
          <w:szCs w:val="24"/>
          <w:highlight w:val="none"/>
        </w:rPr>
        <w:t>乙方</w:t>
      </w:r>
      <w:r>
        <w:rPr>
          <w:rFonts w:hint="eastAsia" w:ascii="宋体" w:hAnsi="宋体" w:eastAsia="宋体" w:cs="宋体"/>
          <w:color w:val="000000" w:themeColor="text1"/>
          <w:sz w:val="24"/>
          <w:szCs w:val="24"/>
          <w:highlight w:val="none"/>
          <w14:textFill>
            <w14:solidFill>
              <w14:schemeClr w14:val="tx1"/>
            </w14:solidFill>
          </w14:textFill>
        </w:rPr>
        <w:t>的违约责任</w:t>
      </w:r>
      <w:r>
        <w:rPr>
          <w:rFonts w:hint="eastAsia" w:ascii="宋体" w:hAnsi="宋体" w:eastAsia="宋体" w:cs="宋体"/>
          <w:sz w:val="24"/>
          <w:szCs w:val="24"/>
          <w:highlight w:val="none"/>
        </w:rPr>
        <w:t>。</w:t>
      </w:r>
    </w:p>
    <w:p w14:paraId="24D057BC">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（5）乙方在约定的时间内未能弥补缺陷，甲方可采取必要的补救措施，但其风险和费用将由乙方承担，甲方根据合同约定对乙方行使的其他权利不受影响。</w:t>
      </w:r>
    </w:p>
    <w:p w14:paraId="35D02C75">
      <w:pPr>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color w:val="000000" w:themeColor="text1"/>
          <w:sz w:val="24"/>
          <w:szCs w:val="24"/>
          <w:highlight w:val="none"/>
          <w14:textFill>
            <w14:solidFill>
              <w14:schemeClr w14:val="tx1"/>
            </w14:solidFill>
          </w14:textFill>
        </w:rPr>
        <w:t>9</w:t>
      </w:r>
      <w:r>
        <w:rPr>
          <w:rFonts w:hint="eastAsia" w:ascii="宋体" w:hAnsi="宋体" w:eastAsia="宋体" w:cs="宋体"/>
          <w:b/>
          <w:bCs/>
          <w:sz w:val="24"/>
          <w:szCs w:val="24"/>
          <w:highlight w:val="none"/>
        </w:rPr>
        <w:t>.</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bCs/>
          <w:sz w:val="24"/>
          <w:szCs w:val="24"/>
          <w:highlight w:val="none"/>
        </w:rPr>
        <w:t>权利瑕疵担保</w:t>
      </w:r>
    </w:p>
    <w:p w14:paraId="63A27C00">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 乙方保证对其出售的货物享有合法的权利。</w:t>
      </w:r>
    </w:p>
    <w:p w14:paraId="4294E528">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9.2 </w:t>
      </w:r>
      <w:r>
        <w:rPr>
          <w:rFonts w:hint="eastAsia" w:ascii="宋体" w:hAnsi="宋体" w:eastAsia="宋体" w:cs="宋体"/>
          <w:sz w:val="24"/>
          <w:szCs w:val="24"/>
          <w:highlight w:val="none"/>
        </w:rPr>
        <w:t>乙方保证在交付的货物上不存在抵押权等担保物权。</w:t>
      </w:r>
    </w:p>
    <w:p w14:paraId="0848359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9.3 如甲方使用上述货物构成对第三人侵权的，则由乙方承担全部责任。</w:t>
      </w:r>
    </w:p>
    <w:p w14:paraId="12201EEF">
      <w:p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10. 知识产权保护</w:t>
      </w:r>
    </w:p>
    <w:p w14:paraId="1927D782">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10.1 乙方对其所销售的货物应当享有知识产权或经权利人合法授权，保证没有侵犯任</w:t>
      </w:r>
      <w:r>
        <w:rPr>
          <w:rFonts w:hint="eastAsia" w:ascii="宋体" w:hAnsi="宋体" w:eastAsia="宋体" w:cs="宋体"/>
          <w:sz w:val="24"/>
          <w:szCs w:val="24"/>
          <w:highlight w:val="none"/>
        </w:rPr>
        <w:t>何第三人的知识产权等权利。</w:t>
      </w:r>
      <w:bookmarkStart w:id="63"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63"/>
      <w:r>
        <w:rPr>
          <w:rFonts w:hint="eastAsia" w:ascii="宋体" w:hAnsi="宋体" w:eastAsia="宋体" w:cs="宋体"/>
          <w:sz w:val="24"/>
          <w:szCs w:val="24"/>
          <w:highlight w:val="none"/>
        </w:rPr>
        <w:t>。</w:t>
      </w:r>
    </w:p>
    <w:p w14:paraId="320D46B5">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保密义务</w:t>
      </w:r>
    </w:p>
    <w:p w14:paraId="24461F2D">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7773ABA0">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 合同价款支付</w:t>
      </w:r>
    </w:p>
    <w:p w14:paraId="3319FAF5">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12.1 合同价款支付按照国库集中支付制度及财政管理相关规定执行。</w:t>
      </w:r>
    </w:p>
    <w:p w14:paraId="561CC7EF">
      <w:pPr>
        <w:pStyle w:val="3"/>
        <w:spacing w:line="360" w:lineRule="auto"/>
        <w:ind w:firstLine="480" w:firstLineChars="200"/>
        <w:rPr>
          <w:rFonts w:hint="eastAsia" w:ascii="宋体" w:hAnsi="宋体" w:eastAsia="宋体" w:cs="宋体"/>
          <w:sz w:val="24"/>
          <w:szCs w:val="24"/>
          <w:highlight w:val="none"/>
        </w:rPr>
      </w:pPr>
      <w:bookmarkStart w:id="64" w:name="_Toc5306"/>
      <w:r>
        <w:rPr>
          <w:rFonts w:hint="eastAsia" w:ascii="宋体" w:hAnsi="宋体" w:eastAsia="宋体" w:cs="宋体"/>
          <w:b w:val="0"/>
          <w:bCs w:val="0"/>
          <w:sz w:val="24"/>
          <w:szCs w:val="24"/>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sz w:val="24"/>
          <w:szCs w:val="24"/>
          <w:highlight w:val="none"/>
        </w:rPr>
        <w:t>【政府采购合同专用条款】</w:t>
      </w:r>
      <w:r>
        <w:rPr>
          <w:rFonts w:hint="eastAsia" w:ascii="宋体" w:hAnsi="宋体" w:eastAsia="宋体" w:cs="宋体"/>
          <w:b w:val="0"/>
          <w:bCs w:val="0"/>
          <w:sz w:val="24"/>
          <w:szCs w:val="24"/>
          <w:highlight w:val="none"/>
        </w:rPr>
        <w:t>中约定。</w:t>
      </w:r>
      <w:bookmarkEnd w:id="64"/>
    </w:p>
    <w:p w14:paraId="51C0D494">
      <w:pPr>
        <w:pStyle w:val="9"/>
        <w:spacing w:after="0"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13.</w:t>
      </w:r>
      <w:r>
        <w:rPr>
          <w:rFonts w:hint="eastAsia" w:ascii="宋体" w:hAnsi="宋体" w:eastAsia="宋体" w:cs="宋体"/>
          <w:b/>
          <w:bCs/>
          <w:sz w:val="24"/>
          <w:highlight w:val="none"/>
          <w:lang w:val="en-US"/>
        </w:rPr>
        <w:t xml:space="preserve"> </w:t>
      </w:r>
      <w:r>
        <w:rPr>
          <w:rFonts w:hint="eastAsia" w:ascii="宋体" w:hAnsi="宋体" w:eastAsia="宋体" w:cs="宋体"/>
          <w:b/>
          <w:bCs/>
          <w:sz w:val="24"/>
          <w:highlight w:val="none"/>
        </w:rPr>
        <w:t>履约保证金</w:t>
      </w:r>
    </w:p>
    <w:p w14:paraId="660ABFD7">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13.1 乙方应当以支票、汇票、本票或者金融机构、担保机构出具的保函等非现金形式提交。</w:t>
      </w:r>
    </w:p>
    <w:p w14:paraId="71F1A8BA">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13.2 如果乙方出现</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34F011D0">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13.3 甲方在项目通过验收后按照</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规定的时间内将履约保证金退还乙方；逾期退还的，乙方可要求甲方支付违约金，违约金按照</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规定支付。</w:t>
      </w:r>
    </w:p>
    <w:p w14:paraId="1CCB8E2F">
      <w:pPr>
        <w:autoSpaceDE w:val="0"/>
        <w:autoSpaceDN w:val="0"/>
        <w:adjustRightInd w:val="0"/>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bCs/>
          <w:sz w:val="24"/>
          <w:szCs w:val="24"/>
          <w:highlight w:val="none"/>
        </w:rPr>
        <w:t xml:space="preserve">14. </w:t>
      </w:r>
      <w:r>
        <w:rPr>
          <w:rFonts w:hint="eastAsia" w:ascii="宋体" w:hAnsi="宋体" w:eastAsia="宋体" w:cs="宋体"/>
          <w:b/>
          <w:sz w:val="24"/>
          <w:szCs w:val="24"/>
          <w:highlight w:val="none"/>
        </w:rPr>
        <w:t>售后服务</w:t>
      </w:r>
    </w:p>
    <w:p w14:paraId="7AD6AEA6">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14.1 除项目不涉及或采购活动中明确约定无须承担外，乙方还应提供下列服务：</w:t>
      </w:r>
    </w:p>
    <w:p w14:paraId="12BD3C9E">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（1）货物的现场移动、安装、调试、启动监督及技术支持；</w:t>
      </w:r>
    </w:p>
    <w:p w14:paraId="7072AB0C">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（2）提供货物组装和维修所需的专用工具和辅助材料；</w:t>
      </w:r>
    </w:p>
    <w:p w14:paraId="2C26176B">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约定的期限内对所有的货物实施运行监督、维修，但前提条件是该服务并不能免除乙方在质量保证期内所承担的义务；</w:t>
      </w:r>
    </w:p>
    <w:p w14:paraId="0408446C">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（4）在制造商所在地或指定现场就货物的安装、启动、运营、维护、废弃处置等对甲方操作人员进行培训；</w:t>
      </w:r>
    </w:p>
    <w:p w14:paraId="01922A7E">
      <w:pPr>
        <w:pStyle w:val="71"/>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481A18F2">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规定由乙方提供的其他服务。</w:t>
      </w:r>
    </w:p>
    <w:p w14:paraId="4B27954B">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14.2 乙方提供的售后服务的费用已包含在合同价款中，甲方不再另行支付。</w:t>
      </w:r>
    </w:p>
    <w:p w14:paraId="17D6D40F">
      <w:pPr>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 违约责任</w:t>
      </w:r>
    </w:p>
    <w:p w14:paraId="3A42657A">
      <w:pPr>
        <w:adjustRightInd w:val="0"/>
        <w:snapToGrid w:val="0"/>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15.1质量瑕疵的违约责任</w:t>
      </w:r>
    </w:p>
    <w:p w14:paraId="06414D51">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乙方提供的产品不符合合同约定的质量标准或存在产品质量缺陷，甲方有权要求乙方根据</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要求</w:t>
      </w:r>
      <w:r>
        <w:rPr>
          <w:rFonts w:hint="eastAsia" w:ascii="宋体" w:hAnsi="宋体" w:eastAsia="宋体" w:cs="宋体"/>
          <w:sz w:val="24"/>
          <w:szCs w:val="24"/>
          <w:highlight w:val="none"/>
        </w:rPr>
        <w:t>及时修理、重作、更换，并承担由此给甲方造成的损失。</w:t>
      </w:r>
    </w:p>
    <w:p w14:paraId="42EE2610">
      <w:pPr>
        <w:autoSpaceDE w:val="0"/>
        <w:autoSpaceDN w:val="0"/>
        <w:adjustRightInd w:val="0"/>
        <w:snapToGrid w:val="0"/>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15.2 迟延交货的违约责任</w:t>
      </w:r>
    </w:p>
    <w:p w14:paraId="7AD02BA0">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B63CD6A">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规定执行。如果涉及公共利益，且赔偿金额无法弥补公共利益损失，甲方可要求继续履行或者采取其他补救措施。</w:t>
      </w:r>
    </w:p>
    <w:p w14:paraId="410F4276">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15.3 迟延支付的违约责任</w:t>
      </w:r>
    </w:p>
    <w:p w14:paraId="47CCC605">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甲方存在迟延支付乙方合同款项的，应当承担</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规定的逾期付款利息。</w:t>
      </w:r>
    </w:p>
    <w:p w14:paraId="494093D8">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15.4其他违约责任根据项目实际需要按</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规定执行。</w:t>
      </w:r>
    </w:p>
    <w:p w14:paraId="35F35A08">
      <w:pPr>
        <w:numPr>
          <w:ilvl w:val="0"/>
          <w:numId w:val="5"/>
        </w:numPr>
        <w:autoSpaceDE w:val="0"/>
        <w:autoSpaceDN w:val="0"/>
        <w:adjustRightInd w:val="0"/>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合同变更、中止与终止</w:t>
      </w:r>
    </w:p>
    <w:p w14:paraId="1953EB02">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16.1合同的变更</w:t>
      </w:r>
    </w:p>
    <w:p w14:paraId="5A1B49AE">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政府采购合同履行中，在不改变合同其他条款的前提下，甲方可以在合同价款10%的范围内追加与合同标的相同的货物，并就此与乙方协商一致后签订补充协议。</w:t>
      </w:r>
    </w:p>
    <w:p w14:paraId="38899B89">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16.2合同的中止</w:t>
      </w:r>
    </w:p>
    <w:p w14:paraId="3B2F304A">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（1）合同履行过程中因供应商就采购文件、采购过程或结果提起投诉的，甲方认为有必要的，可以中止合同的履行。</w:t>
      </w:r>
    </w:p>
    <w:p w14:paraId="5EF38639">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1B2941F">
      <w:pPr>
        <w:pStyle w:val="71"/>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21B4DA8C">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（4）甲方不得以行政区划调整、政府换届、机构或者职能调整以及相关责任人更替为由中止合同。</w:t>
      </w:r>
    </w:p>
    <w:p w14:paraId="43E2462F">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16.3合同的终止</w:t>
      </w:r>
    </w:p>
    <w:p w14:paraId="3CCF0410">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（1）合同因有效期限届满而终止；</w:t>
      </w:r>
    </w:p>
    <w:p w14:paraId="501946C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（2）乙方未按合同约定履行，构成根本性违约的，甲方有权终止合同，并追究乙方的违约责任。</w:t>
      </w:r>
    </w:p>
    <w:p w14:paraId="7990CA36">
      <w:pPr>
        <w:pStyle w:val="71"/>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16.4 </w:t>
      </w:r>
      <w:r>
        <w:rPr>
          <w:rFonts w:hint="eastAsia" w:ascii="宋体" w:hAnsi="宋体" w:eastAsia="宋体" w:cs="宋体"/>
          <w:kern w:val="2"/>
          <w:sz w:val="24"/>
          <w:szCs w:val="24"/>
          <w:highlight w:val="none"/>
        </w:rPr>
        <w:t>涉及国家利益、社会公共利益的情形</w:t>
      </w:r>
    </w:p>
    <w:p w14:paraId="3723C678">
      <w:pPr>
        <w:pStyle w:val="71"/>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126AB225">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 合同分包</w:t>
      </w:r>
    </w:p>
    <w:p w14:paraId="71522B92">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17.1 乙方不得将合同转包给其他供应商。涉及合同分包的，乙方应根据采购文件和投标（响应）文件规定进行合同分包。</w:t>
      </w:r>
    </w:p>
    <w:p w14:paraId="61FFC868">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17.2 乙方执行政府采购政策向中小企业依法分包的，乙方应当按采购文件和投标（响应）文件签订分包意向协议，分包意向协议属于本合同组成部分。</w:t>
      </w:r>
    </w:p>
    <w:p w14:paraId="653E59E0">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 不可抗力</w:t>
      </w:r>
    </w:p>
    <w:p w14:paraId="644A7747">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18.1 不可抗力是指合同双方不能预见、不能避免且不能克服的客观情况。</w:t>
      </w:r>
    </w:p>
    <w:p w14:paraId="6965B867">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18.2 任何一方对由于不可抗力造成的部分或全部不能履行合同不承担违约责任。但迟延履行后发生不可抗力的，不能免除责任。</w:t>
      </w:r>
    </w:p>
    <w:p w14:paraId="49B70622">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D87AC4A">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19. 解决争议的方法</w:t>
      </w:r>
    </w:p>
    <w:p w14:paraId="763AAD03">
      <w:pPr>
        <w:pStyle w:val="71"/>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CB0589A">
      <w:pPr>
        <w:pStyle w:val="71"/>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19.2 选择仲裁的，应在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57CB5B8B">
      <w:pPr>
        <w:pStyle w:val="71"/>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19.3 如甲乙双方有争议的事项不影响合同其他部分的履行，在争议解决期间，合同其他部分应当继续履行。</w:t>
      </w:r>
    </w:p>
    <w:p w14:paraId="3840277B">
      <w:pPr>
        <w:autoSpaceDE w:val="0"/>
        <w:autoSpaceDN w:val="0"/>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20. 政府采购政策</w:t>
      </w:r>
    </w:p>
    <w:p w14:paraId="7F380FF7">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20.1 </w:t>
      </w:r>
      <w:r>
        <w:rPr>
          <w:rFonts w:hint="eastAsia" w:ascii="宋体" w:hAnsi="宋体" w:eastAsia="宋体" w:cs="宋体"/>
          <w:sz w:val="24"/>
          <w:szCs w:val="24"/>
          <w:highlight w:val="none"/>
          <w:lang w:val="en-GB"/>
        </w:rPr>
        <w:t>本合同应当按照规定执行政府采购政策。</w:t>
      </w:r>
    </w:p>
    <w:p w14:paraId="164DFC2A">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20.2 本合同依法执行政府采购政策的方式和内容，属于合同履约验收的范围。甲乙双方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sz w:val="24"/>
          <w:szCs w:val="24"/>
          <w:highlight w:val="none"/>
        </w:rPr>
        <w:t>，有过错的一方应当承担赔偿责任，双方都有过错的，各自承担相应的责任。</w:t>
      </w:r>
    </w:p>
    <w:p w14:paraId="0CDD6CC0">
      <w:pPr>
        <w:pStyle w:val="9"/>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rPr>
        <w:t>0</w:t>
      </w:r>
      <w:r>
        <w:rPr>
          <w:rFonts w:hint="eastAsia" w:ascii="宋体" w:hAnsi="宋体" w:eastAsia="宋体" w:cs="宋体"/>
          <w:sz w:val="24"/>
          <w:highlight w:val="none"/>
        </w:rPr>
        <w:t>.</w:t>
      </w:r>
      <w:r>
        <w:rPr>
          <w:rFonts w:hint="eastAsia" w:ascii="宋体" w:hAnsi="宋体" w:eastAsia="宋体" w:cs="宋体"/>
          <w:sz w:val="24"/>
          <w:highlight w:val="none"/>
          <w:lang w:val="en-US"/>
        </w:rPr>
        <w:t>3</w:t>
      </w:r>
      <w:r>
        <w:rPr>
          <w:rFonts w:hint="eastAsia" w:ascii="宋体" w:hAnsi="宋体" w:eastAsia="宋体" w:cs="宋体"/>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D72CA15">
      <w:pPr>
        <w:autoSpaceDE w:val="0"/>
        <w:autoSpaceDN w:val="0"/>
        <w:adjustRightInd w:val="0"/>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21. 法律适用</w:t>
      </w:r>
    </w:p>
    <w:p w14:paraId="022CBCBC">
      <w:pPr>
        <w:pStyle w:val="71"/>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21.1 本合同的订立、生效、解释、履行及与本合同有关的争议解决，均适用法律、行政法规。</w:t>
      </w:r>
    </w:p>
    <w:p w14:paraId="56DFB6F8">
      <w:pPr>
        <w:pStyle w:val="71"/>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21.2 本合同条款与法律、行政法规的强制性规定不一致的，双方当事人应按照法律、行政法规的强制性规定修改本合同的相关条款。</w:t>
      </w:r>
    </w:p>
    <w:p w14:paraId="745DFFAE">
      <w:pPr>
        <w:numPr>
          <w:ilvl w:val="255"/>
          <w:numId w:val="0"/>
        </w:numPr>
        <w:autoSpaceDE w:val="0"/>
        <w:autoSpaceDN w:val="0"/>
        <w:adjustRightInd w:val="0"/>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22. 通知</w:t>
      </w:r>
    </w:p>
    <w:p w14:paraId="51A96A3B">
      <w:pPr>
        <w:pStyle w:val="71"/>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22.1 本合同任何一方向对方发出的通知、信件、数据电文等，应当发送至本合同第一部分《政府采购合同协议书》所约定的通讯地址、联系人、联系电话或电子邮箱。</w:t>
      </w:r>
    </w:p>
    <w:p w14:paraId="060FCE27">
      <w:pPr>
        <w:pStyle w:val="71"/>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0518719E">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22.3本合同一方给另一方的通知均应采用书面形式，传真或快递送到本合同中规定的对方的地址和办理签收手续。</w:t>
      </w:r>
    </w:p>
    <w:p w14:paraId="02543DA9">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22.4通知以送达之日或通知书中规定的生效之日起生效，两者中以较迟之日为准。</w:t>
      </w:r>
    </w:p>
    <w:p w14:paraId="3821592E">
      <w:pPr>
        <w:numPr>
          <w:ilvl w:val="0"/>
          <w:numId w:val="6"/>
        </w:numPr>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合同未尽事项</w:t>
      </w:r>
    </w:p>
    <w:p w14:paraId="69277F96">
      <w:pPr>
        <w:adjustRightInd w:val="0"/>
        <w:snapToGrid w:val="0"/>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23.1合同未尽事项见</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w:t>
      </w:r>
    </w:p>
    <w:p w14:paraId="103C1170">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    23.2 合同附件与合同正文具有同等的法律效力。</w:t>
      </w:r>
      <w:bookmarkStart w:id="65" w:name="_Toc20313"/>
    </w:p>
    <w:bookmarkEnd w:id="65"/>
    <w:p w14:paraId="70692ABC">
      <w:pPr>
        <w:adjustRightInd w:val="0"/>
        <w:snapToGrid w:val="0"/>
        <w:spacing w:line="360" w:lineRule="auto"/>
        <w:jc w:val="center"/>
        <w:rPr>
          <w:rFonts w:hint="eastAsia" w:ascii="黑体" w:hAnsi="华文中宋" w:eastAsia="黑体"/>
          <w:sz w:val="28"/>
          <w:szCs w:val="28"/>
          <w:highlight w:val="none"/>
        </w:rPr>
      </w:pPr>
      <w:r>
        <w:rPr>
          <w:rFonts w:hint="eastAsia" w:ascii="黑体" w:hAnsi="华文中宋" w:eastAsia="黑体"/>
          <w:sz w:val="28"/>
          <w:szCs w:val="28"/>
          <w:highlight w:val="none"/>
        </w:rPr>
        <w:t>第三节 政府采购合同专用条款</w:t>
      </w:r>
    </w:p>
    <w:tbl>
      <w:tblPr>
        <w:tblStyle w:val="25"/>
        <w:tblW w:w="983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2012"/>
        <w:gridCol w:w="5971"/>
      </w:tblGrid>
      <w:tr w14:paraId="543B96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1856" w:type="dxa"/>
            <w:vAlign w:val="center"/>
          </w:tcPr>
          <w:p w14:paraId="5F194BE9">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7E35370C">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第1.2（6）项</w:t>
            </w:r>
          </w:p>
        </w:tc>
        <w:tc>
          <w:tcPr>
            <w:tcW w:w="2012" w:type="dxa"/>
            <w:vAlign w:val="center"/>
          </w:tcPr>
          <w:p w14:paraId="5437D155">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联合体具体要求</w:t>
            </w:r>
          </w:p>
        </w:tc>
        <w:tc>
          <w:tcPr>
            <w:tcW w:w="5971" w:type="dxa"/>
            <w:vAlign w:val="center"/>
          </w:tcPr>
          <w:p w14:paraId="0881E99C">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否</w:t>
            </w:r>
          </w:p>
        </w:tc>
      </w:tr>
      <w:tr w14:paraId="0F2971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856" w:type="dxa"/>
            <w:vAlign w:val="center"/>
          </w:tcPr>
          <w:p w14:paraId="19483335">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03990240">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第1.2（7）项</w:t>
            </w:r>
          </w:p>
        </w:tc>
        <w:tc>
          <w:tcPr>
            <w:tcW w:w="2012" w:type="dxa"/>
            <w:vAlign w:val="center"/>
          </w:tcPr>
          <w:p w14:paraId="110DFE13">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其他术语解释</w:t>
            </w:r>
          </w:p>
        </w:tc>
        <w:tc>
          <w:tcPr>
            <w:tcW w:w="5971" w:type="dxa"/>
            <w:vAlign w:val="center"/>
          </w:tcPr>
          <w:p w14:paraId="68D8AA64">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无</w:t>
            </w:r>
          </w:p>
        </w:tc>
      </w:tr>
      <w:tr w14:paraId="22156B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4" w:hRule="atLeast"/>
          <w:jc w:val="center"/>
        </w:trPr>
        <w:tc>
          <w:tcPr>
            <w:tcW w:w="1856" w:type="dxa"/>
            <w:vAlign w:val="center"/>
          </w:tcPr>
          <w:p w14:paraId="3EB89585">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162EE389">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第4.4款</w:t>
            </w:r>
          </w:p>
        </w:tc>
        <w:tc>
          <w:tcPr>
            <w:tcW w:w="2012" w:type="dxa"/>
            <w:vAlign w:val="center"/>
          </w:tcPr>
          <w:p w14:paraId="2BCF838C">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履约验收中甲方提出异议或作出说明的期限</w:t>
            </w:r>
          </w:p>
        </w:tc>
        <w:tc>
          <w:tcPr>
            <w:tcW w:w="5971" w:type="dxa"/>
            <w:vAlign w:val="center"/>
          </w:tcPr>
          <w:p w14:paraId="06B3DA09">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5个工作日</w:t>
            </w:r>
          </w:p>
        </w:tc>
      </w:tr>
      <w:tr w14:paraId="0106A4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47" w:hRule="atLeast"/>
          <w:jc w:val="center"/>
        </w:trPr>
        <w:tc>
          <w:tcPr>
            <w:tcW w:w="1856" w:type="dxa"/>
            <w:vAlign w:val="center"/>
          </w:tcPr>
          <w:p w14:paraId="2FDE67C3">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75A94F48">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第4.6款</w:t>
            </w:r>
          </w:p>
        </w:tc>
        <w:tc>
          <w:tcPr>
            <w:tcW w:w="2012" w:type="dxa"/>
            <w:vAlign w:val="center"/>
          </w:tcPr>
          <w:p w14:paraId="4BA49696">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约定甲方承担的其他义务和责任</w:t>
            </w:r>
          </w:p>
        </w:tc>
        <w:tc>
          <w:tcPr>
            <w:tcW w:w="5971" w:type="dxa"/>
            <w:vAlign w:val="center"/>
          </w:tcPr>
          <w:p w14:paraId="42D70F9C">
            <w:pPr>
              <w:pStyle w:val="20"/>
              <w:overflowPunct w:val="0"/>
              <w:adjustRightInd w:val="0"/>
              <w:spacing w:before="0" w:beforeAutospacing="0" w:after="0" w:afterAutospacing="0" w:line="300" w:lineRule="exact"/>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(1)在合同生效后，非因产品质量问题，买方要求退货的，应向卖方偿付合同总价款的5%，作为违约金，违约金不足以补偿损失的，卖方有权要求甲方补足。</w:t>
            </w:r>
          </w:p>
          <w:p w14:paraId="6A36812A">
            <w:pPr>
              <w:pStyle w:val="20"/>
              <w:overflowPunct w:val="0"/>
              <w:adjustRightInd w:val="0"/>
              <w:spacing w:before="0" w:beforeAutospacing="0" w:after="0" w:afterAutospacing="0" w:line="300" w:lineRule="exact"/>
              <w:ind w:right="-334" w:rightChars="-159"/>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(2)买方逾期付款的应按照逾期付款金额的每天万分之四支付逾期付款违约金。</w:t>
            </w:r>
          </w:p>
          <w:p w14:paraId="434DBEA7">
            <w:pPr>
              <w:pStyle w:val="20"/>
              <w:overflowPunct w:val="0"/>
              <w:adjustRightInd w:val="0"/>
              <w:spacing w:before="0" w:beforeAutospacing="0" w:after="0" w:afterAutospacing="0" w:line="300" w:lineRule="exact"/>
              <w:jc w:val="both"/>
              <w:textAlignment w:val="baseline"/>
              <w:rPr>
                <w:rFonts w:hint="eastAsia" w:ascii="宋体" w:hAnsi="宋体" w:eastAsia="宋体" w:cs="宋体"/>
                <w:kern w:val="2"/>
                <w:sz w:val="21"/>
                <w:szCs w:val="21"/>
                <w:highlight w:val="none"/>
              </w:rPr>
            </w:pPr>
            <w:r>
              <w:rPr>
                <w:rFonts w:hint="eastAsia" w:ascii="宋体" w:hAnsi="宋体" w:eastAsia="宋体" w:cs="宋体"/>
                <w:sz w:val="21"/>
                <w:szCs w:val="21"/>
                <w:highlight w:val="none"/>
              </w:rPr>
              <w:t>(3)买方违反合同规定，无正当理由拒绝接收卖方交付的符合招标文件要求的合格标的物，应当承担卖方由此造成的损失。</w:t>
            </w:r>
          </w:p>
        </w:tc>
      </w:tr>
      <w:tr w14:paraId="31F349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8" w:hRule="atLeast"/>
          <w:jc w:val="center"/>
        </w:trPr>
        <w:tc>
          <w:tcPr>
            <w:tcW w:w="1856" w:type="dxa"/>
            <w:vAlign w:val="center"/>
          </w:tcPr>
          <w:p w14:paraId="79E04B29">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40DB9A6D">
            <w:pPr>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第5.4款</w:t>
            </w:r>
          </w:p>
        </w:tc>
        <w:tc>
          <w:tcPr>
            <w:tcW w:w="2012" w:type="dxa"/>
            <w:vAlign w:val="center"/>
          </w:tcPr>
          <w:p w14:paraId="252156F4">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约定乙方承担的其他义务和责任</w:t>
            </w:r>
          </w:p>
        </w:tc>
        <w:tc>
          <w:tcPr>
            <w:tcW w:w="5971" w:type="dxa"/>
            <w:vAlign w:val="center"/>
          </w:tcPr>
          <w:p w14:paraId="09A53EF0">
            <w:pPr>
              <w:pStyle w:val="20"/>
              <w:overflowPunct w:val="0"/>
              <w:adjustRightInd w:val="0"/>
              <w:spacing w:before="0" w:beforeAutospacing="0" w:after="0" w:afterAutospacing="0" w:line="300" w:lineRule="exact"/>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(1)卖方不能交货（逾期超过五天视为不能交货），或交货不合格从而影响买方按期正常使用的，应向买方偿付合同总价款5%的违约金，违约金不足以补偿损失的，买方有权要求卖方补足。</w:t>
            </w:r>
          </w:p>
          <w:p w14:paraId="595AE407">
            <w:pPr>
              <w:pStyle w:val="20"/>
              <w:overflowPunct w:val="0"/>
              <w:adjustRightInd w:val="0"/>
              <w:spacing w:before="0" w:beforeAutospacing="0" w:after="0" w:afterAutospacing="0" w:line="300" w:lineRule="exact"/>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(2)卖方逾期交货的，应在发货前与买方和政府采购管理部门协商，买方仍需求的，卖方应立即发货并应按照逾期交货部分货款的每天万分之四支付逾期交货违约金，同时承担买方因此遭致的损失费用。</w:t>
            </w:r>
          </w:p>
          <w:p w14:paraId="08A08C22">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3）卖方在收到买方提出的产品维保或者伴随服务要求之日起24小时内未提供相应的维保或者伴随服务，卖方应按照合同总价款的每天万分之四支付违约金。卖方如不按时提供相应的维保或者伴随服务，买方有权自行委托第三方进行维保或者提供相应服务，产生的费用应由卖方承担，如卖方不支付该费用，买方有权向卖方追偿。</w:t>
            </w:r>
          </w:p>
        </w:tc>
      </w:tr>
      <w:tr w14:paraId="7D070C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1856" w:type="dxa"/>
            <w:vAlign w:val="center"/>
          </w:tcPr>
          <w:p w14:paraId="2A02C6ED">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2DD52074">
            <w:pPr>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第6.1款</w:t>
            </w:r>
          </w:p>
        </w:tc>
        <w:tc>
          <w:tcPr>
            <w:tcW w:w="2012" w:type="dxa"/>
            <w:vAlign w:val="center"/>
          </w:tcPr>
          <w:p w14:paraId="7D929E83">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履行合同义务的顺序</w:t>
            </w:r>
          </w:p>
        </w:tc>
        <w:tc>
          <w:tcPr>
            <w:tcW w:w="5971" w:type="dxa"/>
            <w:vAlign w:val="center"/>
          </w:tcPr>
          <w:p w14:paraId="6C27951F">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同时履行</w:t>
            </w:r>
          </w:p>
        </w:tc>
      </w:tr>
      <w:tr w14:paraId="76696D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1856" w:type="dxa"/>
            <w:vMerge w:val="restart"/>
            <w:vAlign w:val="center"/>
          </w:tcPr>
          <w:p w14:paraId="7DC4D6B9">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08987CC9">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第7.1款</w:t>
            </w:r>
          </w:p>
        </w:tc>
        <w:tc>
          <w:tcPr>
            <w:tcW w:w="2012" w:type="dxa"/>
            <w:vAlign w:val="center"/>
          </w:tcPr>
          <w:p w14:paraId="6010B83E">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包装特殊要求</w:t>
            </w:r>
          </w:p>
        </w:tc>
        <w:tc>
          <w:tcPr>
            <w:tcW w:w="5971" w:type="dxa"/>
            <w:vAlign w:val="center"/>
          </w:tcPr>
          <w:p w14:paraId="1AB92FB0">
            <w:pPr>
              <w:pStyle w:val="7"/>
              <w:tabs>
                <w:tab w:val="left" w:pos="900"/>
              </w:tabs>
              <w:spacing w:line="300" w:lineRule="exact"/>
              <w:ind w:firstLine="0"/>
              <w:rPr>
                <w:rFonts w:hint="eastAsia" w:hAnsi="宋体" w:cs="宋体"/>
                <w:kern w:val="2"/>
                <w:sz w:val="21"/>
                <w:szCs w:val="21"/>
                <w:highlight w:val="none"/>
              </w:rPr>
            </w:pPr>
            <w:r>
              <w:rPr>
                <w:rFonts w:hint="eastAsia" w:hAnsi="宋体" w:cs="宋体"/>
                <w:kern w:val="2"/>
                <w:sz w:val="21"/>
                <w:szCs w:val="21"/>
                <w:highlight w:val="none"/>
              </w:rPr>
              <w:t>按照通用的方式包装，没有通用方式的，应当采取足以保护标的物的包装方式。</w:t>
            </w:r>
          </w:p>
        </w:tc>
      </w:tr>
      <w:tr w14:paraId="45AB3D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56" w:type="dxa"/>
            <w:vMerge w:val="continue"/>
            <w:vAlign w:val="center"/>
          </w:tcPr>
          <w:p w14:paraId="7A88E405">
            <w:pPr>
              <w:adjustRightInd w:val="0"/>
              <w:snapToGrid w:val="0"/>
              <w:spacing w:line="300" w:lineRule="exact"/>
              <w:jc w:val="center"/>
              <w:rPr>
                <w:rFonts w:hint="eastAsia" w:ascii="宋体" w:hAnsi="宋体" w:eastAsia="宋体" w:cs="宋体"/>
                <w:szCs w:val="21"/>
                <w:highlight w:val="none"/>
              </w:rPr>
            </w:pPr>
          </w:p>
        </w:tc>
        <w:tc>
          <w:tcPr>
            <w:tcW w:w="2012" w:type="dxa"/>
            <w:vAlign w:val="center"/>
          </w:tcPr>
          <w:p w14:paraId="0BAFA467">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指定现场</w:t>
            </w:r>
          </w:p>
        </w:tc>
        <w:tc>
          <w:tcPr>
            <w:tcW w:w="5971" w:type="dxa"/>
            <w:vAlign w:val="center"/>
          </w:tcPr>
          <w:p w14:paraId="61CE6AAD">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滁州市范围内</w:t>
            </w:r>
          </w:p>
        </w:tc>
      </w:tr>
      <w:tr w14:paraId="0C1EB2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1856" w:type="dxa"/>
            <w:vAlign w:val="center"/>
          </w:tcPr>
          <w:p w14:paraId="62489DEF">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1280DB29">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第7.2款</w:t>
            </w:r>
          </w:p>
        </w:tc>
        <w:tc>
          <w:tcPr>
            <w:tcW w:w="2012" w:type="dxa"/>
            <w:vAlign w:val="center"/>
          </w:tcPr>
          <w:p w14:paraId="50341AB8">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运输特殊要求</w:t>
            </w:r>
          </w:p>
        </w:tc>
        <w:tc>
          <w:tcPr>
            <w:tcW w:w="5971" w:type="dxa"/>
            <w:vAlign w:val="center"/>
          </w:tcPr>
          <w:p w14:paraId="0EB23199">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无</w:t>
            </w:r>
          </w:p>
        </w:tc>
      </w:tr>
      <w:tr w14:paraId="602487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1856" w:type="dxa"/>
            <w:vAlign w:val="center"/>
          </w:tcPr>
          <w:p w14:paraId="6AD57C8D">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2411162D">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第7.3款</w:t>
            </w:r>
          </w:p>
        </w:tc>
        <w:tc>
          <w:tcPr>
            <w:tcW w:w="2012" w:type="dxa"/>
            <w:vAlign w:val="center"/>
          </w:tcPr>
          <w:p w14:paraId="1DD5B772">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保险要求</w:t>
            </w:r>
          </w:p>
        </w:tc>
        <w:tc>
          <w:tcPr>
            <w:tcW w:w="5971" w:type="dxa"/>
            <w:vAlign w:val="center"/>
          </w:tcPr>
          <w:p w14:paraId="5FDD2208">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按规定购买保险</w:t>
            </w:r>
          </w:p>
        </w:tc>
      </w:tr>
      <w:tr w14:paraId="16027C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1856" w:type="dxa"/>
            <w:vAlign w:val="center"/>
          </w:tcPr>
          <w:p w14:paraId="4C770E8C">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7D4CD9A9">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第8.2（1）项</w:t>
            </w:r>
          </w:p>
        </w:tc>
        <w:tc>
          <w:tcPr>
            <w:tcW w:w="2012" w:type="dxa"/>
            <w:vAlign w:val="center"/>
          </w:tcPr>
          <w:p w14:paraId="4FE68C77">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质量保证期</w:t>
            </w:r>
          </w:p>
        </w:tc>
        <w:tc>
          <w:tcPr>
            <w:tcW w:w="5971" w:type="dxa"/>
            <w:vAlign w:val="center"/>
          </w:tcPr>
          <w:p w14:paraId="04284E59">
            <w:pPr>
              <w:autoSpaceDE w:val="0"/>
              <w:autoSpaceDN w:val="0"/>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同试剂批次有效期。</w:t>
            </w:r>
          </w:p>
        </w:tc>
      </w:tr>
      <w:tr w14:paraId="2CFD3C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1856" w:type="dxa"/>
            <w:vAlign w:val="center"/>
          </w:tcPr>
          <w:p w14:paraId="79283041">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49C06A20">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第8.2（3）项</w:t>
            </w:r>
          </w:p>
        </w:tc>
        <w:tc>
          <w:tcPr>
            <w:tcW w:w="2012" w:type="dxa"/>
            <w:vAlign w:val="center"/>
          </w:tcPr>
          <w:p w14:paraId="7D060365">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货物质量缺陷</w:t>
            </w:r>
          </w:p>
          <w:p w14:paraId="3CB030B9">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响应时间</w:t>
            </w:r>
          </w:p>
        </w:tc>
        <w:tc>
          <w:tcPr>
            <w:tcW w:w="5971" w:type="dxa"/>
            <w:vAlign w:val="center"/>
          </w:tcPr>
          <w:p w14:paraId="08667549">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12小时</w:t>
            </w:r>
          </w:p>
        </w:tc>
      </w:tr>
      <w:tr w14:paraId="3B6D9B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1856" w:type="dxa"/>
            <w:vAlign w:val="center"/>
          </w:tcPr>
          <w:p w14:paraId="5F394271">
            <w:pPr>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75D7BB4D">
            <w:pPr>
              <w:pStyle w:val="71"/>
              <w:spacing w:line="300" w:lineRule="exact"/>
              <w:ind w:firstLine="0" w:firstLineChars="0"/>
              <w:jc w:val="center"/>
              <w:rPr>
                <w:rFonts w:hint="eastAsia" w:ascii="宋体" w:hAnsi="宋体" w:eastAsia="宋体" w:cs="宋体"/>
                <w:sz w:val="21"/>
                <w:highlight w:val="none"/>
              </w:rPr>
            </w:pPr>
            <w:r>
              <w:rPr>
                <w:rFonts w:hint="eastAsia" w:ascii="宋体" w:hAnsi="宋体" w:eastAsia="宋体" w:cs="宋体"/>
                <w:sz w:val="21"/>
                <w:highlight w:val="none"/>
              </w:rPr>
              <w:t>第11.1款</w:t>
            </w:r>
          </w:p>
        </w:tc>
        <w:tc>
          <w:tcPr>
            <w:tcW w:w="2012" w:type="dxa"/>
            <w:vAlign w:val="center"/>
          </w:tcPr>
          <w:p w14:paraId="75454A8D">
            <w:pPr>
              <w:adjustRightInd w:val="0"/>
              <w:snapToGrid w:val="0"/>
              <w:spacing w:line="300" w:lineRule="exact"/>
              <w:rPr>
                <w:rFonts w:hint="eastAsia" w:ascii="宋体" w:hAnsi="宋体" w:eastAsia="宋体" w:cs="宋体"/>
                <w:szCs w:val="21"/>
                <w:highlight w:val="none"/>
              </w:rPr>
            </w:pPr>
            <w:r>
              <w:rPr>
                <w:rFonts w:hint="eastAsia" w:ascii="宋体" w:hAnsi="宋体" w:eastAsia="宋体" w:cs="宋体"/>
                <w:szCs w:val="21"/>
                <w:highlight w:val="none"/>
              </w:rPr>
              <w:t>其他应当保密的信息</w:t>
            </w:r>
          </w:p>
        </w:tc>
        <w:tc>
          <w:tcPr>
            <w:tcW w:w="5971" w:type="dxa"/>
            <w:vAlign w:val="center"/>
          </w:tcPr>
          <w:p w14:paraId="10A8CAAA">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无</w:t>
            </w:r>
          </w:p>
        </w:tc>
      </w:tr>
      <w:tr w14:paraId="7A6FB0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1856" w:type="dxa"/>
            <w:vAlign w:val="center"/>
          </w:tcPr>
          <w:p w14:paraId="4D693FF7">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6A8A033F">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第12.2款</w:t>
            </w:r>
          </w:p>
        </w:tc>
        <w:tc>
          <w:tcPr>
            <w:tcW w:w="2012" w:type="dxa"/>
            <w:vAlign w:val="center"/>
          </w:tcPr>
          <w:p w14:paraId="33DBA9F7">
            <w:pPr>
              <w:autoSpaceDE w:val="0"/>
              <w:autoSpaceDN w:val="0"/>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合同价款支付时间</w:t>
            </w:r>
          </w:p>
        </w:tc>
        <w:tc>
          <w:tcPr>
            <w:tcW w:w="5971" w:type="dxa"/>
            <w:vAlign w:val="center"/>
          </w:tcPr>
          <w:p w14:paraId="57EE89E0">
            <w:pPr>
              <w:autoSpaceDE w:val="0"/>
              <w:autoSpaceDN w:val="0"/>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合同、担保措施生效并具备实施条件后5个工作日内采购人向中标人支付预付款，预付款为合同价款的 40%（中标人须提交银行、保险公司、担保公司等金融机构出具的预付款保函（保函须使用见索即付型）或其他担保措施），</w:t>
            </w:r>
            <w:r>
              <w:rPr>
                <w:rFonts w:hint="eastAsia" w:ascii="宋体" w:hAnsi="宋体" w:eastAsia="宋体" w:cs="宋体"/>
                <w:szCs w:val="21"/>
                <w:highlight w:val="none"/>
                <w:lang w:eastAsia="zh-CN"/>
              </w:rPr>
              <w:t>剩余价款按照供货分批次进行付款</w:t>
            </w:r>
            <w:r>
              <w:rPr>
                <w:rFonts w:hint="eastAsia" w:ascii="宋体" w:hAnsi="宋体" w:eastAsia="宋体" w:cs="宋体"/>
                <w:szCs w:val="21"/>
                <w:highlight w:val="none"/>
              </w:rPr>
              <w:t>。</w:t>
            </w:r>
          </w:p>
        </w:tc>
      </w:tr>
      <w:tr w14:paraId="457300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1856" w:type="dxa"/>
            <w:vAlign w:val="center"/>
          </w:tcPr>
          <w:p w14:paraId="3479D7CD">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70092476">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第13.2款</w:t>
            </w:r>
          </w:p>
        </w:tc>
        <w:tc>
          <w:tcPr>
            <w:tcW w:w="2012" w:type="dxa"/>
            <w:vAlign w:val="center"/>
          </w:tcPr>
          <w:p w14:paraId="1614C0F6">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履约保证金不予退还的情形</w:t>
            </w:r>
          </w:p>
        </w:tc>
        <w:tc>
          <w:tcPr>
            <w:tcW w:w="5971" w:type="dxa"/>
            <w:vAlign w:val="center"/>
          </w:tcPr>
          <w:p w14:paraId="6A725B81">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无</w:t>
            </w:r>
          </w:p>
        </w:tc>
      </w:tr>
      <w:tr w14:paraId="02661E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4" w:hRule="atLeast"/>
          <w:jc w:val="center"/>
        </w:trPr>
        <w:tc>
          <w:tcPr>
            <w:tcW w:w="1856" w:type="dxa"/>
            <w:vAlign w:val="center"/>
          </w:tcPr>
          <w:p w14:paraId="07C464C9">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2B4FAFEA">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第13.3款</w:t>
            </w:r>
          </w:p>
        </w:tc>
        <w:tc>
          <w:tcPr>
            <w:tcW w:w="2012" w:type="dxa"/>
            <w:vAlign w:val="center"/>
          </w:tcPr>
          <w:p w14:paraId="644DD6C7">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履约保证金退还时间及逾期退还的违约金</w:t>
            </w:r>
          </w:p>
        </w:tc>
        <w:tc>
          <w:tcPr>
            <w:tcW w:w="5971" w:type="dxa"/>
            <w:vAlign w:val="center"/>
          </w:tcPr>
          <w:p w14:paraId="03425176">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无</w:t>
            </w:r>
          </w:p>
        </w:tc>
      </w:tr>
      <w:tr w14:paraId="511137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856" w:type="dxa"/>
            <w:vAlign w:val="center"/>
          </w:tcPr>
          <w:p w14:paraId="474F6BCC">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5AC455CD">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第14.1（3）项</w:t>
            </w:r>
          </w:p>
        </w:tc>
        <w:tc>
          <w:tcPr>
            <w:tcW w:w="2012" w:type="dxa"/>
            <w:vAlign w:val="center"/>
          </w:tcPr>
          <w:p w14:paraId="76761969">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运行监督、维修期限</w:t>
            </w:r>
          </w:p>
        </w:tc>
        <w:tc>
          <w:tcPr>
            <w:tcW w:w="5971" w:type="dxa"/>
            <w:vAlign w:val="center"/>
          </w:tcPr>
          <w:p w14:paraId="148A0088">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无</w:t>
            </w:r>
          </w:p>
        </w:tc>
      </w:tr>
      <w:tr w14:paraId="11A823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856" w:type="dxa"/>
            <w:vAlign w:val="center"/>
          </w:tcPr>
          <w:p w14:paraId="1C7BCBF6">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7936D774">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第14.1（5）项</w:t>
            </w:r>
          </w:p>
        </w:tc>
        <w:tc>
          <w:tcPr>
            <w:tcW w:w="2012" w:type="dxa"/>
            <w:vAlign w:val="center"/>
          </w:tcPr>
          <w:p w14:paraId="6F98B9B0">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货物回收的约定</w:t>
            </w:r>
          </w:p>
        </w:tc>
        <w:tc>
          <w:tcPr>
            <w:tcW w:w="5971" w:type="dxa"/>
            <w:vAlign w:val="center"/>
          </w:tcPr>
          <w:p w14:paraId="5F459BFC">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无</w:t>
            </w:r>
          </w:p>
        </w:tc>
      </w:tr>
      <w:tr w14:paraId="79B8B2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1856" w:type="dxa"/>
            <w:vAlign w:val="center"/>
          </w:tcPr>
          <w:p w14:paraId="616AAE5B">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016D60AA">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第14.1（6）项</w:t>
            </w:r>
          </w:p>
        </w:tc>
        <w:tc>
          <w:tcPr>
            <w:tcW w:w="2012" w:type="dxa"/>
            <w:vAlign w:val="center"/>
          </w:tcPr>
          <w:p w14:paraId="7E41677A">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乙方提供的其他服务</w:t>
            </w:r>
          </w:p>
        </w:tc>
        <w:tc>
          <w:tcPr>
            <w:tcW w:w="5971" w:type="dxa"/>
            <w:vAlign w:val="center"/>
          </w:tcPr>
          <w:p w14:paraId="24E00063">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按招标文件执行</w:t>
            </w:r>
          </w:p>
        </w:tc>
      </w:tr>
      <w:tr w14:paraId="2031C9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1856" w:type="dxa"/>
            <w:vAlign w:val="center"/>
          </w:tcPr>
          <w:p w14:paraId="7E958141">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29810958">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第15.1款</w:t>
            </w:r>
          </w:p>
        </w:tc>
        <w:tc>
          <w:tcPr>
            <w:tcW w:w="2012" w:type="dxa"/>
            <w:vAlign w:val="center"/>
          </w:tcPr>
          <w:p w14:paraId="2B237EFF">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修理、重作、更换相关具体规定</w:t>
            </w:r>
          </w:p>
        </w:tc>
        <w:tc>
          <w:tcPr>
            <w:tcW w:w="5971" w:type="dxa"/>
            <w:vAlign w:val="center"/>
          </w:tcPr>
          <w:p w14:paraId="6F199094">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无</w:t>
            </w:r>
          </w:p>
        </w:tc>
      </w:tr>
      <w:tr w14:paraId="02FAB4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32" w:hRule="atLeast"/>
          <w:jc w:val="center"/>
        </w:trPr>
        <w:tc>
          <w:tcPr>
            <w:tcW w:w="1856" w:type="dxa"/>
            <w:vAlign w:val="center"/>
          </w:tcPr>
          <w:p w14:paraId="34F660D3">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3AC07779">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第15.2（2）项</w:t>
            </w:r>
          </w:p>
        </w:tc>
        <w:tc>
          <w:tcPr>
            <w:tcW w:w="2012" w:type="dxa"/>
            <w:vAlign w:val="center"/>
          </w:tcPr>
          <w:p w14:paraId="0FCED338">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迟延交货赔偿费</w:t>
            </w:r>
          </w:p>
        </w:tc>
        <w:tc>
          <w:tcPr>
            <w:tcW w:w="5971" w:type="dxa"/>
            <w:vAlign w:val="center"/>
          </w:tcPr>
          <w:p w14:paraId="2AD24482">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(1)卖方不能交货（逾期超过五天视为不能交货），或交货不合格从而影响买方按期正常使用的，应向买方偿付合同总价款5%的违约金，违约金不足以补偿损失的，买方有权要求卖方补足。</w:t>
            </w:r>
          </w:p>
          <w:p w14:paraId="6E5A659A">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(2)卖方逾期交货的，应在发货前与买方和政府采购管理部门协商，买方仍需求的，卖方应立即发货并应按照逾期交货部分货款的每天万分之四支付逾期交货违约金，同时承担买方因此遭致的损失费用。</w:t>
            </w:r>
          </w:p>
        </w:tc>
      </w:tr>
      <w:tr w14:paraId="139580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1856" w:type="dxa"/>
            <w:vAlign w:val="center"/>
          </w:tcPr>
          <w:p w14:paraId="78C3C608">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26E52CFB">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第15.3款</w:t>
            </w:r>
          </w:p>
        </w:tc>
        <w:tc>
          <w:tcPr>
            <w:tcW w:w="2012" w:type="dxa"/>
            <w:vAlign w:val="center"/>
          </w:tcPr>
          <w:p w14:paraId="09304FAD">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逾期付款利息</w:t>
            </w:r>
          </w:p>
        </w:tc>
        <w:tc>
          <w:tcPr>
            <w:tcW w:w="5971" w:type="dxa"/>
            <w:vAlign w:val="center"/>
          </w:tcPr>
          <w:p w14:paraId="40658741">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无</w:t>
            </w:r>
          </w:p>
        </w:tc>
      </w:tr>
      <w:tr w14:paraId="1E7299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4" w:hRule="atLeast"/>
          <w:jc w:val="center"/>
        </w:trPr>
        <w:tc>
          <w:tcPr>
            <w:tcW w:w="1856" w:type="dxa"/>
            <w:tcBorders>
              <w:bottom w:val="single" w:color="auto" w:sz="2" w:space="0"/>
              <w:right w:val="single" w:color="auto" w:sz="2" w:space="0"/>
            </w:tcBorders>
            <w:vAlign w:val="center"/>
          </w:tcPr>
          <w:p w14:paraId="50F7E0A0">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70B49639">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第15.4款</w:t>
            </w:r>
          </w:p>
        </w:tc>
        <w:tc>
          <w:tcPr>
            <w:tcW w:w="2012" w:type="dxa"/>
            <w:tcBorders>
              <w:left w:val="single" w:color="auto" w:sz="2" w:space="0"/>
              <w:bottom w:val="single" w:color="auto" w:sz="2" w:space="0"/>
              <w:right w:val="single" w:color="auto" w:sz="2" w:space="0"/>
            </w:tcBorders>
            <w:vAlign w:val="center"/>
          </w:tcPr>
          <w:p w14:paraId="507626EA">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其他违约责任</w:t>
            </w:r>
          </w:p>
        </w:tc>
        <w:tc>
          <w:tcPr>
            <w:tcW w:w="5971" w:type="dxa"/>
            <w:tcBorders>
              <w:left w:val="single" w:color="auto" w:sz="2" w:space="0"/>
              <w:bottom w:val="single" w:color="auto" w:sz="2" w:space="0"/>
            </w:tcBorders>
            <w:vAlign w:val="center"/>
          </w:tcPr>
          <w:p w14:paraId="11831DAB">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合同一方不履行合同义务或者履行合同义务不符合约定的，应当承担继续履行、采取补救措施或者赔偿损失等违约责任。</w:t>
            </w:r>
          </w:p>
        </w:tc>
      </w:tr>
      <w:tr w14:paraId="66710D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4" w:hRule="atLeast"/>
          <w:jc w:val="center"/>
        </w:trPr>
        <w:tc>
          <w:tcPr>
            <w:tcW w:w="1856" w:type="dxa"/>
            <w:tcBorders>
              <w:top w:val="single" w:color="auto" w:sz="2" w:space="0"/>
              <w:right w:val="single" w:color="auto" w:sz="2" w:space="0"/>
            </w:tcBorders>
            <w:vAlign w:val="center"/>
          </w:tcPr>
          <w:p w14:paraId="5A78E20F">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0CD6111B">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第19.2款</w:t>
            </w:r>
          </w:p>
        </w:tc>
        <w:tc>
          <w:tcPr>
            <w:tcW w:w="2012" w:type="dxa"/>
            <w:tcBorders>
              <w:top w:val="single" w:color="auto" w:sz="2" w:space="0"/>
              <w:left w:val="single" w:color="auto" w:sz="2" w:space="0"/>
              <w:right w:val="single" w:color="auto" w:sz="2" w:space="0"/>
            </w:tcBorders>
            <w:vAlign w:val="center"/>
          </w:tcPr>
          <w:p w14:paraId="258B6B1B">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解决争议的方法</w:t>
            </w:r>
          </w:p>
        </w:tc>
        <w:tc>
          <w:tcPr>
            <w:tcW w:w="5971" w:type="dxa"/>
            <w:tcBorders>
              <w:top w:val="single" w:color="auto" w:sz="2" w:space="0"/>
              <w:left w:val="single" w:color="auto" w:sz="2" w:space="0"/>
            </w:tcBorders>
            <w:vAlign w:val="center"/>
          </w:tcPr>
          <w:p w14:paraId="384C08E0">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因本合同及合同有关事项发生的争议，按下列第（1）种方式解决：</w:t>
            </w:r>
          </w:p>
          <w:p w14:paraId="2BBF2AC2">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（1）向滁州市仲裁委员会申请仲裁，仲裁地点为滁州市；</w:t>
            </w:r>
          </w:p>
          <w:p w14:paraId="3702CD82">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（2）向 甲方注册地有管辖权的人民法院起诉。</w:t>
            </w:r>
          </w:p>
        </w:tc>
      </w:tr>
      <w:tr w14:paraId="7AE5C1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1856" w:type="dxa"/>
            <w:vAlign w:val="center"/>
          </w:tcPr>
          <w:p w14:paraId="391E287A">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4705E4CA">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第23.1款</w:t>
            </w:r>
          </w:p>
        </w:tc>
        <w:tc>
          <w:tcPr>
            <w:tcW w:w="2012" w:type="dxa"/>
            <w:vAlign w:val="center"/>
          </w:tcPr>
          <w:p w14:paraId="57A90345">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bCs/>
                <w:szCs w:val="21"/>
                <w:highlight w:val="none"/>
              </w:rPr>
              <w:t>其他专用条款</w:t>
            </w:r>
          </w:p>
        </w:tc>
        <w:tc>
          <w:tcPr>
            <w:tcW w:w="5971" w:type="dxa"/>
            <w:vAlign w:val="center"/>
          </w:tcPr>
          <w:p w14:paraId="590389DB">
            <w:pPr>
              <w:adjustRightInd w:val="0"/>
              <w:snapToGrid w:val="0"/>
              <w:spacing w:line="300" w:lineRule="exact"/>
              <w:jc w:val="left"/>
              <w:rPr>
                <w:rFonts w:hint="eastAsia" w:ascii="宋体" w:hAnsi="宋体" w:eastAsia="宋体" w:cs="宋体"/>
                <w:szCs w:val="21"/>
                <w:highlight w:val="none"/>
              </w:rPr>
            </w:pPr>
            <w:r>
              <w:rPr>
                <w:rFonts w:hint="eastAsia" w:ascii="宋体" w:hAnsi="宋体" w:eastAsia="宋体" w:cs="宋体"/>
                <w:bCs/>
                <w:szCs w:val="21"/>
                <w:highlight w:val="none"/>
              </w:rPr>
              <w:t>合同未尽事项签订合同时补充</w:t>
            </w:r>
          </w:p>
        </w:tc>
      </w:tr>
    </w:tbl>
    <w:p w14:paraId="34F6692A">
      <w:pPr>
        <w:spacing w:line="360" w:lineRule="auto"/>
        <w:jc w:val="center"/>
        <w:rPr>
          <w:rFonts w:hint="eastAsia" w:asciiTheme="minorEastAsia" w:hAnsiTheme="minorEastAsia" w:eastAsiaTheme="minorEastAsia"/>
          <w:b/>
          <w:sz w:val="28"/>
          <w:highlight w:val="none"/>
        </w:rPr>
      </w:pPr>
    </w:p>
    <w:p w14:paraId="02EE5BBB">
      <w:pPr>
        <w:spacing w:line="360" w:lineRule="auto"/>
        <w:rPr>
          <w:rFonts w:hint="eastAsia" w:asciiTheme="minorEastAsia" w:hAnsiTheme="minorEastAsia" w:eastAsiaTheme="minorEastAsia"/>
          <w:b/>
          <w:sz w:val="28"/>
          <w:highlight w:val="none"/>
        </w:rPr>
      </w:pPr>
    </w:p>
    <w:p w14:paraId="5978DA63">
      <w:pPr>
        <w:spacing w:line="360" w:lineRule="auto"/>
        <w:rPr>
          <w:rFonts w:hint="eastAsia" w:asciiTheme="minorEastAsia" w:hAnsiTheme="minorEastAsia" w:eastAsiaTheme="minorEastAsia"/>
          <w:b/>
          <w:sz w:val="28"/>
          <w:highlight w:val="none"/>
        </w:rPr>
      </w:pPr>
    </w:p>
    <w:p w14:paraId="16A66BDE">
      <w:pPr>
        <w:spacing w:line="360" w:lineRule="auto"/>
        <w:rPr>
          <w:rFonts w:hint="eastAsia" w:asciiTheme="minorEastAsia" w:hAnsiTheme="minorEastAsia" w:eastAsiaTheme="minorEastAsia"/>
          <w:b/>
          <w:sz w:val="28"/>
          <w:highlight w:val="none"/>
        </w:rPr>
      </w:pPr>
    </w:p>
    <w:p w14:paraId="46C6E22A">
      <w:pPr>
        <w:pageBreakBefore/>
        <w:spacing w:line="360" w:lineRule="auto"/>
        <w:jc w:val="center"/>
        <w:outlineLvl w:val="0"/>
        <w:rPr>
          <w:rFonts w:hint="eastAsia" w:asciiTheme="minorEastAsia" w:hAnsiTheme="minorEastAsia" w:eastAsiaTheme="minorEastAsia"/>
          <w:b/>
          <w:sz w:val="28"/>
          <w:highlight w:val="none"/>
        </w:rPr>
      </w:pPr>
      <w:bookmarkStart w:id="66" w:name="_Toc25428"/>
      <w:r>
        <w:rPr>
          <w:rFonts w:hint="eastAsia" w:asciiTheme="minorEastAsia" w:hAnsiTheme="minorEastAsia" w:eastAsiaTheme="minorEastAsia"/>
          <w:b/>
          <w:sz w:val="28"/>
          <w:highlight w:val="none"/>
        </w:rPr>
        <w:t>第六章  投标文件格式</w:t>
      </w:r>
      <w:bookmarkEnd w:id="66"/>
    </w:p>
    <w:p w14:paraId="0D217F96">
      <w:pPr>
        <w:spacing w:line="900" w:lineRule="exact"/>
        <w:jc w:val="center"/>
        <w:rPr>
          <w:rFonts w:hint="eastAsia" w:asciiTheme="minorEastAsia" w:hAnsiTheme="minorEastAsia" w:eastAsiaTheme="minorEastAsia"/>
          <w:b/>
          <w:sz w:val="72"/>
          <w:highlight w:val="none"/>
        </w:rPr>
      </w:pPr>
    </w:p>
    <w:p w14:paraId="4467B849">
      <w:pPr>
        <w:spacing w:line="900" w:lineRule="exact"/>
        <w:jc w:val="center"/>
        <w:outlineLvl w:val="1"/>
        <w:rPr>
          <w:rFonts w:hint="eastAsia" w:asciiTheme="minorEastAsia" w:hAnsiTheme="minorEastAsia" w:eastAsiaTheme="minorEastAsia"/>
          <w:b/>
          <w:sz w:val="72"/>
          <w:highlight w:val="none"/>
        </w:rPr>
      </w:pPr>
      <w:bookmarkStart w:id="67" w:name="_Toc651"/>
      <w:bookmarkStart w:id="68" w:name="_Toc6838"/>
      <w:r>
        <w:rPr>
          <w:rFonts w:hint="eastAsia" w:asciiTheme="minorEastAsia" w:hAnsiTheme="minorEastAsia" w:eastAsiaTheme="minorEastAsia"/>
          <w:b/>
          <w:sz w:val="72"/>
          <w:highlight w:val="none"/>
        </w:rPr>
        <w:t>投</w:t>
      </w:r>
      <w:bookmarkEnd w:id="67"/>
      <w:bookmarkEnd w:id="68"/>
    </w:p>
    <w:p w14:paraId="07019182">
      <w:pPr>
        <w:spacing w:line="900" w:lineRule="exact"/>
        <w:jc w:val="center"/>
        <w:rPr>
          <w:rFonts w:hint="eastAsia" w:asciiTheme="minorEastAsia" w:hAnsiTheme="minorEastAsia" w:eastAsiaTheme="minorEastAsia"/>
          <w:b/>
          <w:sz w:val="72"/>
          <w:highlight w:val="none"/>
        </w:rPr>
      </w:pPr>
    </w:p>
    <w:p w14:paraId="704C1F80">
      <w:pPr>
        <w:spacing w:line="900" w:lineRule="exact"/>
        <w:jc w:val="center"/>
        <w:outlineLvl w:val="1"/>
        <w:rPr>
          <w:rFonts w:hint="eastAsia" w:asciiTheme="minorEastAsia" w:hAnsiTheme="minorEastAsia" w:eastAsiaTheme="minorEastAsia"/>
          <w:b/>
          <w:sz w:val="72"/>
          <w:highlight w:val="none"/>
        </w:rPr>
      </w:pPr>
      <w:bookmarkStart w:id="69" w:name="_Toc6148"/>
      <w:bookmarkStart w:id="70" w:name="_Toc3179"/>
      <w:r>
        <w:rPr>
          <w:rFonts w:hint="eastAsia" w:asciiTheme="minorEastAsia" w:hAnsiTheme="minorEastAsia" w:eastAsiaTheme="minorEastAsia"/>
          <w:b/>
          <w:sz w:val="72"/>
          <w:highlight w:val="none"/>
        </w:rPr>
        <w:t>标</w:t>
      </w:r>
      <w:bookmarkEnd w:id="69"/>
      <w:bookmarkEnd w:id="70"/>
    </w:p>
    <w:p w14:paraId="6FC60979">
      <w:pPr>
        <w:spacing w:line="900" w:lineRule="exact"/>
        <w:jc w:val="center"/>
        <w:rPr>
          <w:rFonts w:hint="eastAsia" w:asciiTheme="minorEastAsia" w:hAnsiTheme="minorEastAsia" w:eastAsiaTheme="minorEastAsia"/>
          <w:b/>
          <w:sz w:val="72"/>
          <w:highlight w:val="none"/>
        </w:rPr>
      </w:pPr>
    </w:p>
    <w:p w14:paraId="7E8EAD1E">
      <w:pPr>
        <w:spacing w:line="900" w:lineRule="exact"/>
        <w:jc w:val="center"/>
        <w:outlineLvl w:val="1"/>
        <w:rPr>
          <w:rFonts w:hint="eastAsia" w:asciiTheme="minorEastAsia" w:hAnsiTheme="minorEastAsia" w:eastAsiaTheme="minorEastAsia"/>
          <w:b/>
          <w:sz w:val="72"/>
          <w:highlight w:val="none"/>
        </w:rPr>
      </w:pPr>
      <w:bookmarkStart w:id="71" w:name="_Toc11115"/>
      <w:bookmarkStart w:id="72" w:name="_Toc1338"/>
      <w:r>
        <w:rPr>
          <w:rFonts w:hint="eastAsia" w:asciiTheme="minorEastAsia" w:hAnsiTheme="minorEastAsia" w:eastAsiaTheme="minorEastAsia"/>
          <w:b/>
          <w:sz w:val="72"/>
          <w:highlight w:val="none"/>
        </w:rPr>
        <w:t>文</w:t>
      </w:r>
      <w:bookmarkEnd w:id="71"/>
      <w:bookmarkEnd w:id="72"/>
    </w:p>
    <w:p w14:paraId="22838F93">
      <w:pPr>
        <w:spacing w:line="900" w:lineRule="exact"/>
        <w:jc w:val="center"/>
        <w:rPr>
          <w:rFonts w:hint="eastAsia" w:asciiTheme="minorEastAsia" w:hAnsiTheme="minorEastAsia" w:eastAsiaTheme="minorEastAsia"/>
          <w:b/>
          <w:sz w:val="72"/>
          <w:highlight w:val="none"/>
        </w:rPr>
      </w:pPr>
    </w:p>
    <w:p w14:paraId="21D7FFDA">
      <w:pPr>
        <w:jc w:val="center"/>
        <w:outlineLvl w:val="1"/>
        <w:rPr>
          <w:rFonts w:hint="eastAsia" w:asciiTheme="minorEastAsia" w:hAnsiTheme="minorEastAsia" w:eastAsiaTheme="minorEastAsia"/>
          <w:b/>
          <w:sz w:val="72"/>
          <w:highlight w:val="none"/>
        </w:rPr>
      </w:pPr>
      <w:bookmarkStart w:id="73" w:name="_Toc32514"/>
      <w:bookmarkStart w:id="74" w:name="_Toc10796"/>
      <w:r>
        <w:rPr>
          <w:rFonts w:hint="eastAsia" w:asciiTheme="minorEastAsia" w:hAnsiTheme="minorEastAsia" w:eastAsiaTheme="minorEastAsia"/>
          <w:b/>
          <w:sz w:val="72"/>
          <w:highlight w:val="none"/>
        </w:rPr>
        <w:t>件</w:t>
      </w:r>
      <w:bookmarkEnd w:id="73"/>
      <w:bookmarkEnd w:id="74"/>
    </w:p>
    <w:p w14:paraId="6C035DB8">
      <w:pPr>
        <w:spacing w:after="156" w:afterLines="50"/>
        <w:jc w:val="center"/>
        <w:rPr>
          <w:rFonts w:hint="eastAsia" w:asciiTheme="minorEastAsia" w:hAnsiTheme="minorEastAsia" w:eastAsiaTheme="minorEastAsia"/>
          <w:b/>
          <w:sz w:val="72"/>
          <w:highlight w:val="none"/>
        </w:rPr>
      </w:pPr>
    </w:p>
    <w:p w14:paraId="1C6165B9">
      <w:pPr>
        <w:spacing w:after="156" w:afterLines="50" w:line="500" w:lineRule="exact"/>
        <w:rPr>
          <w:rFonts w:hint="eastAsia" w:asciiTheme="minorEastAsia" w:hAnsiTheme="minorEastAsia" w:eastAsiaTheme="minorEastAsia"/>
          <w:b/>
          <w:sz w:val="28"/>
          <w:szCs w:val="28"/>
          <w:highlight w:val="none"/>
        </w:rPr>
      </w:pPr>
    </w:p>
    <w:p w14:paraId="1725594D">
      <w:pPr>
        <w:tabs>
          <w:tab w:val="left" w:pos="2410"/>
        </w:tabs>
        <w:autoSpaceDE w:val="0"/>
        <w:autoSpaceDN w:val="0"/>
        <w:adjustRightInd w:val="0"/>
        <w:snapToGrid w:val="0"/>
        <w:spacing w:line="360" w:lineRule="auto"/>
        <w:ind w:firstLine="643" w:firstLineChars="200"/>
        <w:rPr>
          <w:rFonts w:hint="eastAsia" w:ascii="宋体" w:hAnsi="宋体" w:eastAsia="宋体"/>
          <w:b/>
          <w:spacing w:val="20"/>
          <w:kern w:val="0"/>
          <w:sz w:val="32"/>
          <w:szCs w:val="32"/>
          <w:highlight w:val="none"/>
        </w:rPr>
      </w:pPr>
      <w:r>
        <w:rPr>
          <w:rFonts w:hint="eastAsia" w:asciiTheme="minorEastAsia" w:hAnsiTheme="minorEastAsia" w:eastAsiaTheme="minorEastAsia"/>
          <w:b/>
          <w:sz w:val="32"/>
          <w:highlight w:val="none"/>
        </w:rPr>
        <w:t>项目名称：</w:t>
      </w:r>
      <w:r>
        <w:rPr>
          <w:rFonts w:hint="eastAsia" w:asciiTheme="minorEastAsia" w:hAnsiTheme="minorEastAsia" w:eastAsiaTheme="minorEastAsia"/>
          <w:b/>
          <w:sz w:val="32"/>
          <w:highlight w:val="none"/>
          <w:u w:val="single"/>
        </w:rPr>
        <w:t xml:space="preserve">                  </w:t>
      </w:r>
    </w:p>
    <w:p w14:paraId="1A0FBDD3">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sz w:val="32"/>
          <w:highlight w:val="none"/>
          <w:u w:val="single"/>
          <w:lang w:eastAsia="zh-CN"/>
        </w:rPr>
      </w:pPr>
      <w:r>
        <w:rPr>
          <w:rFonts w:hint="eastAsia" w:asciiTheme="minorEastAsia" w:hAnsiTheme="minorEastAsia" w:eastAsiaTheme="minorEastAsia"/>
          <w:b/>
          <w:sz w:val="32"/>
          <w:highlight w:val="none"/>
        </w:rPr>
        <w:t>投 标 人：</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u w:val="none"/>
          <w:lang w:eastAsia="zh-CN"/>
        </w:rPr>
        <w:t>（盖章）</w:t>
      </w:r>
    </w:p>
    <w:p w14:paraId="4A3BBB20">
      <w:pPr>
        <w:spacing w:after="156" w:afterLines="50" w:line="500" w:lineRule="exact"/>
        <w:jc w:val="center"/>
        <w:outlineLvl w:val="1"/>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u w:val="single"/>
        </w:rPr>
        <w:t xml:space="preserve">  </w:t>
      </w:r>
      <w:bookmarkStart w:id="75" w:name="_Toc2991"/>
      <w:bookmarkStart w:id="76" w:name="_Toc8037"/>
      <w:bookmarkStart w:id="77" w:name="_Toc9994"/>
      <w:r>
        <w:rPr>
          <w:rFonts w:hint="eastAsia" w:asciiTheme="minorEastAsia" w:hAnsiTheme="minorEastAsia" w:eastAsiaTheme="minorEastAsia"/>
          <w:b/>
          <w:sz w:val="32"/>
          <w:highlight w:val="none"/>
        </w:rPr>
        <w:t>年</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月</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日</w:t>
      </w:r>
      <w:bookmarkEnd w:id="75"/>
      <w:bookmarkEnd w:id="76"/>
      <w:bookmarkEnd w:id="77"/>
    </w:p>
    <w:p w14:paraId="2518E257">
      <w:pPr>
        <w:widowControl/>
        <w:jc w:val="left"/>
        <w:rPr>
          <w:rFonts w:hint="eastAsia" w:ascii="宋体" w:hAnsi="宋体" w:eastAsia="宋体" w:cs="宋体"/>
          <w:b/>
          <w:sz w:val="44"/>
          <w:szCs w:val="44"/>
          <w:highlight w:val="none"/>
        </w:rPr>
      </w:pPr>
      <w:r>
        <w:rPr>
          <w:rFonts w:asciiTheme="minorEastAsia" w:hAnsiTheme="minorEastAsia" w:eastAsiaTheme="minorEastAsia"/>
          <w:b/>
          <w:sz w:val="28"/>
          <w:highlight w:val="none"/>
        </w:rPr>
        <w:br w:type="page"/>
      </w:r>
    </w:p>
    <w:p w14:paraId="279126D3">
      <w:pPr>
        <w:spacing w:line="360" w:lineRule="auto"/>
        <w:jc w:val="center"/>
        <w:outlineLvl w:val="1"/>
        <w:rPr>
          <w:rFonts w:hint="eastAsia" w:asciiTheme="minorEastAsia" w:hAnsiTheme="minorEastAsia" w:eastAsiaTheme="minorEastAsia"/>
          <w:b/>
          <w:sz w:val="24"/>
          <w:highlight w:val="none"/>
        </w:rPr>
      </w:pPr>
      <w:bookmarkStart w:id="78" w:name="_Toc17345"/>
      <w:r>
        <w:rPr>
          <w:rFonts w:hint="eastAsia" w:asciiTheme="minorEastAsia" w:hAnsiTheme="minorEastAsia" w:eastAsiaTheme="minorEastAsia"/>
          <w:b/>
          <w:sz w:val="24"/>
          <w:highlight w:val="none"/>
        </w:rPr>
        <w:t>一、开标一览表</w:t>
      </w:r>
      <w:bookmarkEnd w:id="78"/>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6777"/>
      </w:tblGrid>
      <w:tr w14:paraId="6377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352" w:type="pct"/>
            <w:tcBorders>
              <w:top w:val="single" w:color="auto" w:sz="4" w:space="0"/>
              <w:bottom w:val="single" w:color="auto" w:sz="4" w:space="0"/>
              <w:right w:val="single" w:color="auto" w:sz="4" w:space="0"/>
            </w:tcBorders>
            <w:vAlign w:val="center"/>
          </w:tcPr>
          <w:p w14:paraId="23678DA3">
            <w:pPr>
              <w:widowControl/>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项目名称</w:t>
            </w:r>
          </w:p>
        </w:tc>
        <w:tc>
          <w:tcPr>
            <w:tcW w:w="3648" w:type="pct"/>
            <w:tcBorders>
              <w:top w:val="single" w:color="auto" w:sz="4" w:space="0"/>
              <w:bottom w:val="single" w:color="auto" w:sz="4" w:space="0"/>
              <w:right w:val="single" w:color="auto" w:sz="4" w:space="0"/>
            </w:tcBorders>
            <w:vAlign w:val="center"/>
          </w:tcPr>
          <w:p w14:paraId="280F7C02">
            <w:pPr>
              <w:spacing w:line="360" w:lineRule="exact"/>
              <w:jc w:val="center"/>
              <w:rPr>
                <w:rFonts w:hint="eastAsia" w:asciiTheme="minorEastAsia" w:hAnsiTheme="minorEastAsia" w:eastAsiaTheme="minorEastAsia"/>
                <w:bCs/>
                <w:sz w:val="24"/>
                <w:highlight w:val="none"/>
                <w:u w:val="single"/>
              </w:rPr>
            </w:pPr>
          </w:p>
        </w:tc>
      </w:tr>
      <w:tr w14:paraId="4E59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1352" w:type="pct"/>
            <w:tcBorders>
              <w:top w:val="nil"/>
            </w:tcBorders>
            <w:vAlign w:val="center"/>
          </w:tcPr>
          <w:p w14:paraId="58D633E0">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投标人全称</w:t>
            </w:r>
          </w:p>
        </w:tc>
        <w:tc>
          <w:tcPr>
            <w:tcW w:w="3648" w:type="pct"/>
            <w:tcBorders>
              <w:top w:val="nil"/>
            </w:tcBorders>
            <w:vAlign w:val="center"/>
          </w:tcPr>
          <w:p w14:paraId="71F34C81">
            <w:pPr>
              <w:spacing w:line="360" w:lineRule="auto"/>
              <w:rPr>
                <w:rFonts w:hint="eastAsia" w:asciiTheme="minorEastAsia" w:hAnsiTheme="minorEastAsia" w:eastAsiaTheme="minorEastAsia"/>
                <w:sz w:val="24"/>
                <w:highlight w:val="none"/>
              </w:rPr>
            </w:pPr>
          </w:p>
        </w:tc>
      </w:tr>
      <w:tr w14:paraId="42DB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352" w:type="pct"/>
            <w:tcBorders>
              <w:top w:val="nil"/>
            </w:tcBorders>
            <w:vAlign w:val="center"/>
          </w:tcPr>
          <w:p w14:paraId="211FB7BE">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投标范围</w:t>
            </w:r>
          </w:p>
        </w:tc>
        <w:tc>
          <w:tcPr>
            <w:tcW w:w="3648" w:type="pct"/>
            <w:tcBorders>
              <w:top w:val="nil"/>
            </w:tcBorders>
            <w:vAlign w:val="center"/>
          </w:tcPr>
          <w:p w14:paraId="3CD6E100">
            <w:pPr>
              <w:widowControl/>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szCs w:val="28"/>
                <w:highlight w:val="none"/>
              </w:rPr>
              <w:t>全部</w:t>
            </w:r>
          </w:p>
        </w:tc>
      </w:tr>
      <w:tr w14:paraId="432B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1352" w:type="pct"/>
            <w:tcBorders>
              <w:top w:val="nil"/>
            </w:tcBorders>
            <w:vAlign w:val="center"/>
          </w:tcPr>
          <w:p w14:paraId="18A39411">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投标报价</w:t>
            </w:r>
          </w:p>
        </w:tc>
        <w:tc>
          <w:tcPr>
            <w:tcW w:w="3648" w:type="pct"/>
            <w:tcBorders>
              <w:top w:val="nil"/>
            </w:tcBorders>
            <w:vAlign w:val="center"/>
          </w:tcPr>
          <w:p w14:paraId="5BA2954F">
            <w:pPr>
              <w:snapToGrid w:val="0"/>
              <w:spacing w:line="360" w:lineRule="auto"/>
              <w:jc w:val="lef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17AA318A">
            <w:pPr>
              <w:spacing w:line="360" w:lineRule="auto"/>
              <w:ind w:right="-670"/>
              <w:rPr>
                <w:rFonts w:hint="eastAsia" w:asciiTheme="minorEastAsia" w:hAnsiTheme="minorEastAsia" w:eastAsiaTheme="minorEastAsia"/>
                <w:sz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F1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5199B370">
            <w:pPr>
              <w:spacing w:line="360" w:lineRule="auto"/>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其他</w:t>
            </w:r>
          </w:p>
        </w:tc>
        <w:tc>
          <w:tcPr>
            <w:tcW w:w="3648" w:type="pct"/>
            <w:tcBorders>
              <w:top w:val="nil"/>
            </w:tcBorders>
            <w:vAlign w:val="center"/>
          </w:tcPr>
          <w:p w14:paraId="57846321">
            <w:pPr>
              <w:spacing w:line="360" w:lineRule="auto"/>
              <w:jc w:val="left"/>
              <w:rPr>
                <w:rFonts w:hint="eastAsia" w:asciiTheme="minorEastAsia" w:hAnsiTheme="minorEastAsia" w:eastAsiaTheme="minorEastAsia"/>
                <w:sz w:val="24"/>
                <w:szCs w:val="28"/>
                <w:highlight w:val="none"/>
              </w:rPr>
            </w:pPr>
          </w:p>
        </w:tc>
      </w:tr>
    </w:tbl>
    <w:p w14:paraId="273B973F">
      <w:pPr>
        <w:spacing w:line="360" w:lineRule="auto"/>
        <w:ind w:firstLine="4320" w:firstLineChars="1800"/>
        <w:jc w:val="center"/>
        <w:rPr>
          <w:rFonts w:hint="eastAsia"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投标人</w:t>
      </w:r>
      <w:r>
        <w:rPr>
          <w:rFonts w:hint="eastAsia" w:asciiTheme="minorEastAsia" w:hAnsiTheme="minorEastAsia" w:eastAsiaTheme="minorEastAsia"/>
          <w:bCs/>
          <w:sz w:val="24"/>
          <w:highlight w:val="none"/>
          <w:lang w:eastAsia="zh-CN"/>
        </w:rPr>
        <w:t>公章</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0888D5C9">
      <w:pPr>
        <w:spacing w:line="360" w:lineRule="auto"/>
        <w:ind w:firstLine="4320" w:firstLineChars="1800"/>
        <w:jc w:val="center"/>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p w14:paraId="55BED1BD">
      <w:pP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     </w:t>
      </w:r>
    </w:p>
    <w:p w14:paraId="02CDBB7D">
      <w:pPr>
        <w:spacing w:line="360" w:lineRule="auto"/>
        <w:ind w:firstLine="360" w:firstLineChars="150"/>
        <w:rPr>
          <w:rFonts w:hint="eastAsia" w:asciiTheme="minorEastAsia" w:hAnsiTheme="minorEastAsia" w:eastAsiaTheme="minorEastAsia"/>
          <w:sz w:val="24"/>
          <w:highlight w:val="none"/>
        </w:rPr>
      </w:pPr>
    </w:p>
    <w:p w14:paraId="5C654374">
      <w:pPr>
        <w:spacing w:line="360" w:lineRule="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注：</w:t>
      </w:r>
    </w:p>
    <w:p w14:paraId="579AFF1C">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此表用于开标唱标之用。</w:t>
      </w:r>
    </w:p>
    <w:p w14:paraId="5EF2A3B7">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表中投标报价即为优惠后报价，并作为评审及定标依据。任何有选择或有条件的投标报价，或者表中某一包别填写多个报价，均为无效报价。</w:t>
      </w:r>
      <w:bookmarkStart w:id="79" w:name="_Toc25584"/>
    </w:p>
    <w:p w14:paraId="65F16FD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3.表中大写金额与小写金额不一致的，以大写金额为准。</w:t>
      </w:r>
    </w:p>
    <w:p w14:paraId="11F61B5B">
      <w:pPr>
        <w:spacing w:line="360" w:lineRule="auto"/>
        <w:jc w:val="center"/>
        <w:rPr>
          <w:rFonts w:hint="eastAsia" w:asciiTheme="minorEastAsia" w:hAnsiTheme="minorEastAsia" w:eastAsiaTheme="minorEastAsia"/>
          <w:b/>
          <w:sz w:val="24"/>
          <w:highlight w:val="none"/>
        </w:rPr>
      </w:pPr>
      <w:r>
        <w:rPr>
          <w:rFonts w:asciiTheme="minorEastAsia" w:hAnsiTheme="minorEastAsia" w:eastAsiaTheme="minorEastAsia"/>
          <w:sz w:val="24"/>
          <w:highlight w:val="none"/>
        </w:rPr>
        <w:br w:type="page"/>
      </w:r>
      <w:bookmarkStart w:id="80" w:name="_Toc6441"/>
      <w:bookmarkStart w:id="81" w:name="_Toc18010"/>
      <w:r>
        <w:rPr>
          <w:rFonts w:hint="eastAsia" w:asciiTheme="minorEastAsia" w:hAnsiTheme="minorEastAsia" w:eastAsiaTheme="minorEastAsia"/>
          <w:b/>
          <w:sz w:val="24"/>
          <w:highlight w:val="none"/>
        </w:rPr>
        <w:t>二、投标函</w:t>
      </w:r>
      <w:bookmarkEnd w:id="79"/>
      <w:bookmarkEnd w:id="80"/>
      <w:bookmarkEnd w:id="81"/>
    </w:p>
    <w:p w14:paraId="60EA8F30">
      <w:pPr>
        <w:pStyle w:val="13"/>
        <w:spacing w:line="360" w:lineRule="auto"/>
        <w:rPr>
          <w:rFonts w:hint="eastAsia"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采购人</w:t>
      </w:r>
    </w:p>
    <w:p w14:paraId="3B0F001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根据贵方的招标公告和投标邀请，我方兹宣布同意如下：</w:t>
      </w:r>
    </w:p>
    <w:p w14:paraId="4A04BEC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宋体" w:hAnsi="宋体" w:eastAsia="宋体" w:cs="宋体"/>
          <w:sz w:val="24"/>
          <w:szCs w:val="24"/>
          <w:highlight w:val="none"/>
        </w:rPr>
        <w:t>我方根据招标文件的规定，严格履行合同的责任和义务,并保证于买方要求的日期内完成，并通过买方验收。</w:t>
      </w:r>
    </w:p>
    <w:p w14:paraId="0856467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2.我方已详细审核全部招标文件，包括招标文件附件及更正公告（如有），我方正式认可并遵守本次招标文件，并对招标文件各项条款、规定及要求均无异议。</w:t>
      </w:r>
    </w:p>
    <w:p w14:paraId="32BB00B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3.我方同意从招标文件规定的开标日期起遵循本招标文件，并在招标文件规定的投标有效期之前均具有约束力。</w:t>
      </w:r>
    </w:p>
    <w:p w14:paraId="63D2615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4976CA11">
      <w:pPr>
        <w:spacing w:line="360" w:lineRule="auto"/>
        <w:ind w:firstLine="4800" w:firstLineChars="2000"/>
        <w:rPr>
          <w:rFonts w:hint="eastAsia" w:ascii="宋体" w:hAnsi="宋体" w:eastAsia="宋体"/>
          <w:sz w:val="24"/>
          <w:highlight w:val="none"/>
        </w:rPr>
      </w:pPr>
    </w:p>
    <w:p w14:paraId="37817A45">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w:t>
      </w:r>
      <w:r>
        <w:rPr>
          <w:rFonts w:hint="eastAsia" w:ascii="宋体" w:hAnsi="宋体" w:eastAsia="宋体"/>
          <w:sz w:val="24"/>
          <w:highlight w:val="none"/>
          <w:lang w:eastAsia="zh-CN"/>
        </w:rPr>
        <w:t>公章</w:t>
      </w:r>
      <w:r>
        <w:rPr>
          <w:rFonts w:hint="eastAsia" w:ascii="宋体" w:hAnsi="宋体" w:eastAsia="宋体"/>
          <w:sz w:val="24"/>
          <w:highlight w:val="none"/>
        </w:rPr>
        <w:t>：</w:t>
      </w:r>
      <w:r>
        <w:rPr>
          <w:rFonts w:hint="eastAsia" w:ascii="宋体" w:hAnsi="宋体" w:eastAsia="宋体"/>
          <w:sz w:val="24"/>
          <w:highlight w:val="none"/>
          <w:u w:val="single"/>
        </w:rPr>
        <w:t xml:space="preserve">             </w:t>
      </w:r>
    </w:p>
    <w:p w14:paraId="47755B6B">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3E03286D">
      <w:pPr>
        <w:widowControl/>
        <w:jc w:val="left"/>
        <w:rPr>
          <w:rFonts w:hint="eastAsia" w:ascii="宋体" w:hAnsi="宋体" w:eastAsia="宋体" w:cs="宋体"/>
          <w:sz w:val="28"/>
          <w:szCs w:val="28"/>
          <w:highlight w:val="none"/>
        </w:rPr>
      </w:pPr>
      <w:r>
        <w:rPr>
          <w:rFonts w:ascii="宋体" w:hAnsi="宋体" w:eastAsia="宋体"/>
          <w:sz w:val="24"/>
          <w:highlight w:val="none"/>
          <w:u w:val="single"/>
        </w:rPr>
        <w:br w:type="page"/>
      </w:r>
    </w:p>
    <w:p w14:paraId="3D9F4DAA">
      <w:pPr>
        <w:spacing w:line="360" w:lineRule="auto"/>
        <w:jc w:val="center"/>
        <w:outlineLvl w:val="1"/>
        <w:rPr>
          <w:rFonts w:hint="eastAsia" w:asciiTheme="minorEastAsia" w:hAnsiTheme="minorEastAsia" w:eastAsiaTheme="minorEastAsia"/>
          <w:b/>
          <w:sz w:val="24"/>
          <w:highlight w:val="none"/>
        </w:rPr>
      </w:pPr>
      <w:bookmarkStart w:id="82" w:name="_Toc1328"/>
      <w:bookmarkStart w:id="83" w:name="_Toc16930"/>
      <w:bookmarkStart w:id="84" w:name="_Toc16960"/>
      <w:r>
        <w:rPr>
          <w:rFonts w:hint="eastAsia" w:asciiTheme="minorEastAsia" w:hAnsiTheme="minorEastAsia" w:eastAsiaTheme="minorEastAsia"/>
          <w:b/>
          <w:sz w:val="24"/>
          <w:highlight w:val="none"/>
        </w:rPr>
        <w:t>三．投标人资格声明书</w:t>
      </w:r>
      <w:bookmarkEnd w:id="82"/>
      <w:bookmarkEnd w:id="83"/>
      <w:r>
        <w:rPr>
          <w:rFonts w:hint="eastAsia" w:asciiTheme="minorEastAsia" w:hAnsiTheme="minorEastAsia" w:eastAsiaTheme="minorEastAsia"/>
          <w:b/>
          <w:sz w:val="24"/>
          <w:highlight w:val="none"/>
        </w:rPr>
        <w:t xml:space="preserve"> </w:t>
      </w:r>
    </w:p>
    <w:p w14:paraId="44F4FD27">
      <w:pPr>
        <w:pStyle w:val="13"/>
        <w:spacing w:line="360" w:lineRule="auto"/>
        <w:rPr>
          <w:rFonts w:hint="eastAsia" w:asciiTheme="minorEastAsia" w:hAnsiTheme="minorEastAsia" w:cstheme="minorEastAsia"/>
          <w:sz w:val="24"/>
          <w:szCs w:val="24"/>
          <w:highlight w:val="none"/>
        </w:rPr>
      </w:pPr>
      <w:r>
        <w:rPr>
          <w:rFonts w:hint="eastAsia" w:ascii="宋体" w:hAnsi="宋体"/>
          <w:sz w:val="24"/>
          <w:highlight w:val="none"/>
        </w:rPr>
        <w:t>致：</w:t>
      </w:r>
      <w:r>
        <w:rPr>
          <w:rFonts w:hint="eastAsia" w:ascii="宋体" w:hAnsi="宋体"/>
          <w:sz w:val="24"/>
          <w:highlight w:val="none"/>
          <w:u w:val="single"/>
        </w:rPr>
        <w:t>采购人</w:t>
      </w:r>
    </w:p>
    <w:p w14:paraId="3F1ABA2C">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 xml:space="preserve">在参与本次项目投标中，我单位承诺：        </w:t>
      </w:r>
    </w:p>
    <w:p w14:paraId="4D7473EE">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（一）具有良好的商业信誉和健全的财务会计制度；</w:t>
      </w:r>
    </w:p>
    <w:p w14:paraId="55DBC6F8">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（二）具有履行合同所必需的设备和专业技术能力；</w:t>
      </w:r>
    </w:p>
    <w:p w14:paraId="08B2E0F7">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（三）有依法缴纳税收和社会保障资金的良好记录；</w:t>
      </w:r>
    </w:p>
    <w:p w14:paraId="5A36634C">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50E2B76">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02C4D32D">
      <w:pPr>
        <w:widowControl/>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504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559D003">
            <w:pPr>
              <w:widowControl/>
              <w:spacing w:before="156" w:beforeLines="50" w:after="10"/>
              <w:jc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序号</w:t>
            </w:r>
          </w:p>
        </w:tc>
        <w:tc>
          <w:tcPr>
            <w:tcW w:w="2841" w:type="dxa"/>
          </w:tcPr>
          <w:p w14:paraId="45B3C150">
            <w:pPr>
              <w:pStyle w:val="9"/>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单位名称</w:t>
            </w:r>
          </w:p>
        </w:tc>
        <w:tc>
          <w:tcPr>
            <w:tcW w:w="2841" w:type="dxa"/>
          </w:tcPr>
          <w:p w14:paraId="0FB9F4CC">
            <w:pPr>
              <w:pStyle w:val="9"/>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相互关系</w:t>
            </w:r>
          </w:p>
        </w:tc>
      </w:tr>
      <w:tr w14:paraId="3780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8D989C2">
            <w:pPr>
              <w:pStyle w:val="9"/>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1</w:t>
            </w:r>
          </w:p>
        </w:tc>
        <w:tc>
          <w:tcPr>
            <w:tcW w:w="2841" w:type="dxa"/>
          </w:tcPr>
          <w:p w14:paraId="15B90432">
            <w:pPr>
              <w:pStyle w:val="9"/>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p>
        </w:tc>
        <w:tc>
          <w:tcPr>
            <w:tcW w:w="2841" w:type="dxa"/>
          </w:tcPr>
          <w:p w14:paraId="4AFE345C">
            <w:pPr>
              <w:pStyle w:val="9"/>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p>
        </w:tc>
      </w:tr>
      <w:tr w14:paraId="7076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A95A1E3">
            <w:pPr>
              <w:pStyle w:val="9"/>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2</w:t>
            </w:r>
          </w:p>
        </w:tc>
        <w:tc>
          <w:tcPr>
            <w:tcW w:w="2841" w:type="dxa"/>
          </w:tcPr>
          <w:p w14:paraId="723AD5CD">
            <w:pPr>
              <w:pStyle w:val="9"/>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p>
        </w:tc>
        <w:tc>
          <w:tcPr>
            <w:tcW w:w="2841" w:type="dxa"/>
          </w:tcPr>
          <w:p w14:paraId="02DF70E2">
            <w:pPr>
              <w:pStyle w:val="9"/>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p>
        </w:tc>
      </w:tr>
    </w:tbl>
    <w:p w14:paraId="5FAAB3A4">
      <w:pPr>
        <w:spacing w:line="360" w:lineRule="auto"/>
        <w:ind w:firstLine="435"/>
        <w:rPr>
          <w:rFonts w:hint="eastAsia" w:ascii="宋体" w:hAnsi="宋体" w:eastAsia="宋体"/>
          <w:sz w:val="24"/>
          <w:highlight w:val="none"/>
        </w:rPr>
      </w:pPr>
      <w:r>
        <w:rPr>
          <w:rFonts w:hint="eastAsia" w:ascii="宋体" w:hAnsi="宋体" w:eastAsia="宋体"/>
          <w:sz w:val="24"/>
          <w:highlight w:val="none"/>
        </w:rPr>
        <w:t>本单位对</w:t>
      </w:r>
      <w:r>
        <w:rPr>
          <w:rFonts w:hint="eastAsia" w:asciiTheme="minorEastAsia" w:hAnsiTheme="minorEastAsia" w:eastAsiaTheme="minorEastAsia"/>
          <w:sz w:val="24"/>
          <w:highlight w:val="none"/>
        </w:rPr>
        <w:t>上述</w:t>
      </w:r>
      <w:r>
        <w:rPr>
          <w:rFonts w:hint="eastAsia" w:ascii="宋体" w:hAnsi="宋体" w:eastAsia="宋体"/>
          <w:sz w:val="24"/>
          <w:highlight w:val="none"/>
        </w:rPr>
        <w:t>声明的真实性负责。如有虚假，将依法承担相应责任。</w:t>
      </w:r>
    </w:p>
    <w:p w14:paraId="65FB346F">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w:t>
      </w:r>
      <w:r>
        <w:rPr>
          <w:rFonts w:hint="eastAsia" w:ascii="宋体" w:hAnsi="宋体" w:eastAsia="宋体"/>
          <w:sz w:val="24"/>
          <w:highlight w:val="none"/>
          <w:lang w:eastAsia="zh-CN"/>
        </w:rPr>
        <w:t>公章</w:t>
      </w:r>
      <w:r>
        <w:rPr>
          <w:rFonts w:hint="eastAsia" w:ascii="宋体" w:hAnsi="宋体" w:eastAsia="宋体"/>
          <w:sz w:val="24"/>
          <w:highlight w:val="none"/>
        </w:rPr>
        <w:t>：</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0DDD3EA8">
      <w:pPr>
        <w:tabs>
          <w:tab w:val="left" w:pos="630"/>
        </w:tabs>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4E54E97A">
      <w:pPr>
        <w:pStyle w:val="9"/>
        <w:rPr>
          <w:rFonts w:hint="eastAsia" w:asciiTheme="minorEastAsia" w:hAnsiTheme="minorEastAsia" w:eastAsiaTheme="minorEastAsia" w:cstheme="minorEastAsia"/>
          <w:color w:val="000000"/>
          <w:kern w:val="0"/>
          <w:sz w:val="24"/>
          <w:highlight w:val="none"/>
          <w:lang w:val="en-US" w:bidi="ar"/>
        </w:rPr>
      </w:pPr>
    </w:p>
    <w:p w14:paraId="3BF5CD66">
      <w:pPr>
        <w:spacing w:line="360" w:lineRule="auto"/>
        <w:jc w:val="center"/>
        <w:rPr>
          <w:rFonts w:hint="eastAsia" w:asciiTheme="minorEastAsia" w:hAnsiTheme="minorEastAsia" w:eastAsiaTheme="minorEastAsia"/>
          <w:b/>
          <w:sz w:val="24"/>
          <w:highlight w:val="none"/>
        </w:rPr>
      </w:pPr>
    </w:p>
    <w:p w14:paraId="69E76215">
      <w:pPr>
        <w:spacing w:line="360" w:lineRule="auto"/>
        <w:jc w:val="center"/>
        <w:rPr>
          <w:rFonts w:hint="eastAsia" w:asciiTheme="minorEastAsia" w:hAnsiTheme="minorEastAsia" w:eastAsiaTheme="minorEastAsia"/>
          <w:b/>
          <w:sz w:val="24"/>
          <w:highlight w:val="none"/>
        </w:rPr>
      </w:pPr>
    </w:p>
    <w:p w14:paraId="6FFCD115">
      <w:pPr>
        <w:spacing w:line="360" w:lineRule="auto"/>
        <w:jc w:val="center"/>
        <w:rPr>
          <w:rFonts w:hint="eastAsia" w:asciiTheme="minorEastAsia" w:hAnsiTheme="minorEastAsia" w:eastAsiaTheme="minorEastAsia"/>
          <w:b/>
          <w:sz w:val="24"/>
          <w:highlight w:val="none"/>
        </w:rPr>
      </w:pPr>
    </w:p>
    <w:p w14:paraId="34C6D617">
      <w:pPr>
        <w:spacing w:line="360" w:lineRule="auto"/>
        <w:jc w:val="center"/>
        <w:rPr>
          <w:rFonts w:hint="eastAsia" w:asciiTheme="minorEastAsia" w:hAnsiTheme="minorEastAsia" w:eastAsiaTheme="minorEastAsia"/>
          <w:b/>
          <w:sz w:val="24"/>
          <w:highlight w:val="none"/>
        </w:rPr>
      </w:pPr>
    </w:p>
    <w:p w14:paraId="18B2B914">
      <w:pPr>
        <w:spacing w:line="360" w:lineRule="auto"/>
        <w:jc w:val="center"/>
        <w:rPr>
          <w:rFonts w:hint="eastAsia" w:asciiTheme="minorEastAsia" w:hAnsiTheme="minorEastAsia" w:eastAsiaTheme="minorEastAsia"/>
          <w:b/>
          <w:sz w:val="24"/>
          <w:highlight w:val="none"/>
        </w:rPr>
      </w:pPr>
    </w:p>
    <w:p w14:paraId="6A71C083">
      <w:pPr>
        <w:spacing w:line="360" w:lineRule="auto"/>
        <w:jc w:val="center"/>
        <w:rPr>
          <w:rFonts w:hint="eastAsia" w:asciiTheme="minorEastAsia" w:hAnsiTheme="minorEastAsia" w:eastAsiaTheme="minorEastAsia"/>
          <w:b/>
          <w:sz w:val="24"/>
          <w:highlight w:val="none"/>
        </w:rPr>
      </w:pPr>
    </w:p>
    <w:p w14:paraId="2E370820">
      <w:pPr>
        <w:spacing w:line="360" w:lineRule="auto"/>
        <w:jc w:val="center"/>
        <w:rPr>
          <w:rFonts w:hint="eastAsia" w:asciiTheme="minorEastAsia" w:hAnsiTheme="minorEastAsia" w:eastAsiaTheme="minorEastAsia"/>
          <w:b/>
          <w:sz w:val="24"/>
          <w:highlight w:val="none"/>
        </w:rPr>
      </w:pPr>
    </w:p>
    <w:p w14:paraId="0002B506">
      <w:pPr>
        <w:spacing w:line="360" w:lineRule="auto"/>
        <w:jc w:val="center"/>
        <w:rPr>
          <w:rFonts w:hint="eastAsia" w:asciiTheme="minorEastAsia" w:hAnsiTheme="minorEastAsia" w:eastAsiaTheme="minorEastAsia"/>
          <w:b/>
          <w:sz w:val="24"/>
          <w:highlight w:val="none"/>
        </w:rPr>
      </w:pPr>
    </w:p>
    <w:p w14:paraId="7AAB4888">
      <w:pPr>
        <w:spacing w:line="360" w:lineRule="auto"/>
        <w:jc w:val="center"/>
        <w:rPr>
          <w:rFonts w:hint="eastAsia" w:asciiTheme="minorEastAsia" w:hAnsiTheme="minorEastAsia" w:eastAsiaTheme="minorEastAsia"/>
          <w:b/>
          <w:sz w:val="24"/>
          <w:highlight w:val="none"/>
        </w:rPr>
      </w:pPr>
    </w:p>
    <w:p w14:paraId="200F0F54">
      <w:pPr>
        <w:spacing w:line="360" w:lineRule="auto"/>
        <w:jc w:val="center"/>
        <w:rPr>
          <w:rFonts w:hint="eastAsia" w:asciiTheme="minorEastAsia" w:hAnsiTheme="minorEastAsia" w:eastAsiaTheme="minorEastAsia"/>
          <w:b/>
          <w:sz w:val="24"/>
          <w:highlight w:val="none"/>
        </w:rPr>
      </w:pPr>
    </w:p>
    <w:p w14:paraId="3C9B9400">
      <w:pPr>
        <w:spacing w:line="360" w:lineRule="auto"/>
        <w:jc w:val="center"/>
        <w:outlineLvl w:val="1"/>
        <w:rPr>
          <w:rFonts w:hint="eastAsia" w:asciiTheme="minorEastAsia" w:hAnsiTheme="minorEastAsia" w:eastAsiaTheme="minorEastAsia"/>
          <w:b/>
          <w:sz w:val="24"/>
          <w:highlight w:val="none"/>
        </w:rPr>
      </w:pPr>
      <w:bookmarkStart w:id="85" w:name="_Toc25466"/>
      <w:r>
        <w:rPr>
          <w:rFonts w:hint="eastAsia" w:asciiTheme="minorEastAsia" w:hAnsiTheme="minorEastAsia" w:eastAsiaTheme="minorEastAsia"/>
          <w:b/>
          <w:sz w:val="24"/>
          <w:highlight w:val="none"/>
        </w:rPr>
        <w:t>四、授权书</w:t>
      </w:r>
      <w:bookmarkEnd w:id="84"/>
      <w:bookmarkEnd w:id="85"/>
    </w:p>
    <w:p w14:paraId="07D5214B">
      <w:pPr>
        <w:pStyle w:val="12"/>
        <w:snapToGrid w:val="0"/>
        <w:spacing w:line="360" w:lineRule="auto"/>
        <w:ind w:firstLine="480" w:firstLineChars="200"/>
        <w:jc w:val="left"/>
        <w:rPr>
          <w:rFonts w:hint="eastAsia" w:hAnsi="宋体" w:eastAsia="宋体"/>
          <w:sz w:val="24"/>
          <w:szCs w:val="28"/>
          <w:highlight w:val="none"/>
        </w:rPr>
      </w:pPr>
    </w:p>
    <w:p w14:paraId="45867289">
      <w:pPr>
        <w:spacing w:line="360" w:lineRule="auto"/>
        <w:ind w:firstLine="435"/>
        <w:rPr>
          <w:rFonts w:hint="eastAsia" w:hAnsi="宋体" w:eastAsia="宋体"/>
          <w:sz w:val="24"/>
          <w:szCs w:val="28"/>
          <w:highlight w:val="none"/>
        </w:rPr>
      </w:pPr>
      <w:r>
        <w:rPr>
          <w:rFonts w:hint="eastAsia" w:hAnsi="宋体" w:eastAsia="宋体"/>
          <w:sz w:val="24"/>
          <w:szCs w:val="28"/>
          <w:highlight w:val="none"/>
        </w:rPr>
        <w:t>本</w:t>
      </w:r>
      <w:r>
        <w:rPr>
          <w:rFonts w:hint="eastAsia" w:asciiTheme="minorEastAsia" w:hAnsiTheme="minorEastAsia" w:eastAsiaTheme="minorEastAsia"/>
          <w:sz w:val="24"/>
          <w:highlight w:val="none"/>
        </w:rPr>
        <w:t>授权</w:t>
      </w:r>
      <w:r>
        <w:rPr>
          <w:rFonts w:hint="eastAsia" w:hAnsi="宋体" w:eastAsia="宋体"/>
          <w:sz w:val="24"/>
          <w:szCs w:val="28"/>
          <w:highlight w:val="none"/>
        </w:rPr>
        <w:t>书声明：</w:t>
      </w:r>
      <w:r>
        <w:rPr>
          <w:rFonts w:hint="eastAsia" w:hAnsi="宋体" w:eastAsia="宋体"/>
          <w:sz w:val="24"/>
          <w:szCs w:val="28"/>
          <w:highlight w:val="none"/>
          <w:u w:val="single"/>
        </w:rPr>
        <w:t xml:space="preserve">           </w:t>
      </w:r>
      <w:r>
        <w:rPr>
          <w:rFonts w:hint="eastAsia" w:hAnsi="宋体" w:eastAsia="宋体"/>
          <w:sz w:val="24"/>
          <w:szCs w:val="28"/>
          <w:highlight w:val="none"/>
        </w:rPr>
        <w:t>（投标人名称）授权</w:t>
      </w:r>
      <w:r>
        <w:rPr>
          <w:rFonts w:hint="eastAsia" w:hAnsi="宋体" w:eastAsia="宋体"/>
          <w:sz w:val="24"/>
          <w:szCs w:val="28"/>
          <w:highlight w:val="none"/>
          <w:u w:val="single"/>
        </w:rPr>
        <w:t xml:space="preserve">       </w:t>
      </w:r>
      <w:r>
        <w:rPr>
          <w:rFonts w:hint="eastAsia" w:hAnsi="宋体" w:eastAsia="宋体"/>
          <w:sz w:val="24"/>
          <w:szCs w:val="28"/>
          <w:highlight w:val="none"/>
        </w:rPr>
        <w:t>（投标人授权代表姓名）代表我方参加本项目</w:t>
      </w:r>
      <w:r>
        <w:rPr>
          <w:rFonts w:hint="eastAsia" w:hAnsi="宋体" w:eastAsia="宋体"/>
          <w:bCs/>
          <w:sz w:val="24"/>
          <w:szCs w:val="28"/>
          <w:highlight w:val="none"/>
        </w:rPr>
        <w:t>采购活动</w:t>
      </w:r>
      <w:r>
        <w:rPr>
          <w:rFonts w:hint="eastAsia" w:hAnsi="宋体" w:eastAsia="宋体"/>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AC6401F">
      <w:pPr>
        <w:spacing w:line="360" w:lineRule="auto"/>
        <w:ind w:firstLine="435"/>
        <w:rPr>
          <w:rFonts w:hint="eastAsia" w:hAnsi="宋体" w:eastAsia="宋体"/>
          <w:sz w:val="24"/>
          <w:szCs w:val="28"/>
          <w:highlight w:val="none"/>
        </w:rPr>
      </w:pPr>
      <w:r>
        <w:rPr>
          <w:rFonts w:hint="eastAsia" w:hAnsi="宋体" w:eastAsia="宋体"/>
          <w:sz w:val="24"/>
          <w:szCs w:val="28"/>
          <w:highlight w:val="none"/>
        </w:rPr>
        <w:t>本授权书自出具之日起生效。</w:t>
      </w:r>
    </w:p>
    <w:p w14:paraId="5AAAF31B">
      <w:pPr>
        <w:spacing w:line="360" w:lineRule="auto"/>
        <w:ind w:firstLine="435"/>
        <w:rPr>
          <w:rFonts w:hint="eastAsia" w:hAnsi="宋体" w:eastAsia="宋体"/>
          <w:sz w:val="24"/>
          <w:highlight w:val="none"/>
        </w:rPr>
      </w:pPr>
      <w:r>
        <w:rPr>
          <w:rFonts w:hint="eastAsia" w:hAnsi="宋体" w:eastAsia="宋体"/>
          <w:sz w:val="24"/>
          <w:szCs w:val="28"/>
          <w:highlight w:val="none"/>
        </w:rPr>
        <w:t>授权</w:t>
      </w:r>
      <w:r>
        <w:rPr>
          <w:rFonts w:hint="eastAsia" w:asciiTheme="minorEastAsia" w:hAnsiTheme="minorEastAsia" w:eastAsiaTheme="minorEastAsia"/>
          <w:sz w:val="24"/>
          <w:highlight w:val="none"/>
        </w:rPr>
        <w:t>代表</w:t>
      </w:r>
      <w:r>
        <w:rPr>
          <w:rFonts w:hint="eastAsia" w:hAnsi="宋体" w:eastAsia="宋体"/>
          <w:sz w:val="24"/>
          <w:highlight w:val="none"/>
        </w:rPr>
        <w:t>身份证明</w:t>
      </w:r>
      <w:r>
        <w:rPr>
          <w:rFonts w:hint="eastAsia" w:hAnsi="宋体" w:eastAsia="宋体"/>
          <w:sz w:val="24"/>
          <w:highlight w:val="none"/>
          <w:lang w:eastAsia="zh-CN"/>
        </w:rPr>
        <w:t>复印件加盖单位公章</w:t>
      </w:r>
      <w:r>
        <w:rPr>
          <w:rFonts w:hint="eastAsia" w:hAnsi="宋体" w:eastAsia="宋体"/>
          <w:sz w:val="24"/>
          <w:highlight w:val="none"/>
        </w:rPr>
        <w:t>：</w:t>
      </w:r>
    </w:p>
    <w:p w14:paraId="7660034A">
      <w:pPr>
        <w:spacing w:line="360" w:lineRule="auto"/>
        <w:ind w:firstLine="435"/>
        <w:rPr>
          <w:rFonts w:hint="eastAsia" w:asciiTheme="minorEastAsia" w:hAnsiTheme="minorEastAsia" w:eastAsiaTheme="minorEastAsia"/>
          <w:sz w:val="24"/>
          <w:highlight w:val="none"/>
        </w:rPr>
      </w:pPr>
    </w:p>
    <w:p w14:paraId="471836AF">
      <w:pPr>
        <w:spacing w:line="360" w:lineRule="auto"/>
        <w:ind w:firstLine="435"/>
        <w:rPr>
          <w:rFonts w:hint="eastAsia" w:asciiTheme="minorEastAsia" w:hAnsiTheme="minorEastAsia" w:eastAsiaTheme="minorEastAsia"/>
          <w:sz w:val="24"/>
          <w:highlight w:val="none"/>
        </w:rPr>
      </w:pPr>
    </w:p>
    <w:p w14:paraId="2D480D77">
      <w:pPr>
        <w:spacing w:line="360" w:lineRule="auto"/>
        <w:ind w:firstLine="435"/>
        <w:rPr>
          <w:rFonts w:hint="eastAsia" w:asciiTheme="minorEastAsia" w:hAnsiTheme="minorEastAsia" w:eastAsiaTheme="minorEastAsia"/>
          <w:sz w:val="24"/>
          <w:highlight w:val="none"/>
        </w:rPr>
      </w:pPr>
    </w:p>
    <w:p w14:paraId="3DB0D4F1">
      <w:pPr>
        <w:spacing w:line="360" w:lineRule="auto"/>
        <w:ind w:firstLine="435"/>
        <w:rPr>
          <w:rFonts w:hint="eastAsia" w:hAnsi="宋体" w:eastAsia="宋体"/>
          <w:sz w:val="24"/>
          <w:szCs w:val="28"/>
          <w:highlight w:val="none"/>
          <w:u w:val="single"/>
          <w:lang w:val="zh-CN"/>
        </w:rPr>
      </w:pPr>
      <w:r>
        <w:rPr>
          <w:rFonts w:hint="eastAsia" w:hAnsi="宋体" w:eastAsia="宋体"/>
          <w:sz w:val="24"/>
          <w:szCs w:val="28"/>
          <w:highlight w:val="none"/>
        </w:rPr>
        <w:t>授权代表联系方式：</w:t>
      </w:r>
      <w:r>
        <w:rPr>
          <w:rFonts w:hint="eastAsia" w:hAnsi="宋体" w:eastAsia="宋体"/>
          <w:sz w:val="24"/>
          <w:szCs w:val="28"/>
          <w:highlight w:val="none"/>
          <w:u w:val="single"/>
        </w:rPr>
        <w:t xml:space="preserve">          （请填写手机号码）</w:t>
      </w:r>
    </w:p>
    <w:p w14:paraId="59214A8D">
      <w:pPr>
        <w:spacing w:line="360" w:lineRule="auto"/>
        <w:ind w:firstLine="435"/>
        <w:rPr>
          <w:rFonts w:hint="eastAsia" w:hAnsi="宋体" w:eastAsia="宋体"/>
          <w:sz w:val="24"/>
          <w:szCs w:val="28"/>
          <w:highlight w:val="none"/>
          <w:lang w:val="zh-CN"/>
        </w:rPr>
      </w:pPr>
    </w:p>
    <w:p w14:paraId="33BD18F3">
      <w:pPr>
        <w:spacing w:line="360" w:lineRule="auto"/>
        <w:ind w:firstLine="435"/>
        <w:rPr>
          <w:rFonts w:hint="eastAsia" w:ascii="宋体" w:hAnsi="宋体" w:eastAsia="宋体"/>
          <w:sz w:val="24"/>
          <w:szCs w:val="28"/>
          <w:highlight w:val="none"/>
        </w:rPr>
      </w:pPr>
      <w:r>
        <w:rPr>
          <w:rFonts w:hint="eastAsia" w:asciiTheme="minorEastAsia" w:hAnsiTheme="minorEastAsia" w:eastAsiaTheme="minorEastAsia"/>
          <w:sz w:val="24"/>
          <w:highlight w:val="none"/>
        </w:rPr>
        <w:t>特此</w:t>
      </w:r>
      <w:r>
        <w:rPr>
          <w:rFonts w:hint="eastAsia" w:ascii="宋体" w:hAnsi="宋体" w:eastAsia="宋体"/>
          <w:sz w:val="24"/>
          <w:szCs w:val="28"/>
          <w:highlight w:val="none"/>
        </w:rPr>
        <w:t>声明。</w:t>
      </w:r>
    </w:p>
    <w:p w14:paraId="588A3510">
      <w:pPr>
        <w:spacing w:line="360" w:lineRule="auto"/>
        <w:rPr>
          <w:rFonts w:hint="eastAsia" w:ascii="宋体" w:hAnsi="宋体" w:eastAsia="宋体"/>
          <w:sz w:val="24"/>
          <w:szCs w:val="28"/>
          <w:highlight w:val="none"/>
        </w:rPr>
      </w:pPr>
    </w:p>
    <w:p w14:paraId="3C945A0B">
      <w:pPr>
        <w:spacing w:line="360" w:lineRule="auto"/>
        <w:ind w:firstLine="435"/>
        <w:jc w:val="center"/>
        <w:rPr>
          <w:rFonts w:hint="eastAsia" w:ascii="宋体" w:hAnsi="宋体" w:eastAsia="宋体"/>
          <w:bCs/>
          <w:sz w:val="24"/>
          <w:szCs w:val="28"/>
          <w:highlight w:val="none"/>
        </w:rPr>
      </w:pPr>
      <w:r>
        <w:rPr>
          <w:rFonts w:hint="eastAsia" w:ascii="宋体" w:hAnsi="宋体" w:eastAsia="宋体"/>
          <w:bCs/>
          <w:sz w:val="24"/>
          <w:szCs w:val="28"/>
          <w:highlight w:val="none"/>
        </w:rPr>
        <w:t xml:space="preserve">                            投标人</w:t>
      </w:r>
      <w:r>
        <w:rPr>
          <w:rFonts w:hint="eastAsia" w:ascii="宋体" w:hAnsi="宋体" w:eastAsia="宋体"/>
          <w:bCs/>
          <w:sz w:val="24"/>
          <w:szCs w:val="28"/>
          <w:highlight w:val="none"/>
          <w:lang w:eastAsia="zh-CN"/>
        </w:rPr>
        <w:t>公章</w:t>
      </w:r>
      <w:r>
        <w:rPr>
          <w:rFonts w:hint="eastAsia" w:ascii="宋体" w:hAnsi="宋体" w:eastAsia="宋体"/>
          <w:bCs/>
          <w:sz w:val="24"/>
          <w:szCs w:val="28"/>
          <w:highlight w:val="none"/>
        </w:rPr>
        <w:t>：</w:t>
      </w:r>
      <w:r>
        <w:rPr>
          <w:rFonts w:hint="eastAsia" w:ascii="宋体" w:hAnsi="宋体" w:eastAsia="宋体"/>
          <w:bCs/>
          <w:sz w:val="24"/>
          <w:szCs w:val="28"/>
          <w:highlight w:val="none"/>
          <w:u w:val="single"/>
        </w:rPr>
        <w:t xml:space="preserve">                    </w:t>
      </w:r>
    </w:p>
    <w:p w14:paraId="3F02EA5F">
      <w:pPr>
        <w:spacing w:line="360" w:lineRule="auto"/>
        <w:ind w:firstLine="435"/>
        <w:jc w:val="center"/>
        <w:rPr>
          <w:rFonts w:hint="eastAsia" w:ascii="宋体" w:hAnsi="宋体" w:eastAsia="宋体"/>
          <w:sz w:val="24"/>
          <w:szCs w:val="28"/>
          <w:highlight w:val="none"/>
        </w:rPr>
      </w:pPr>
      <w:r>
        <w:rPr>
          <w:rFonts w:hint="eastAsia" w:ascii="宋体" w:hAnsi="宋体" w:eastAsia="宋体"/>
          <w:sz w:val="24"/>
          <w:szCs w:val="28"/>
          <w:highlight w:val="none"/>
        </w:rPr>
        <w:t xml:space="preserve">                            日      期：</w:t>
      </w:r>
      <w:r>
        <w:rPr>
          <w:rFonts w:hint="eastAsia" w:ascii="宋体" w:hAnsi="宋体" w:eastAsia="宋体"/>
          <w:b/>
          <w:bCs/>
          <w:sz w:val="24"/>
          <w:szCs w:val="28"/>
          <w:highlight w:val="none"/>
          <w:u w:val="single"/>
        </w:rPr>
        <w:t xml:space="preserve">                    </w:t>
      </w:r>
    </w:p>
    <w:p w14:paraId="60531ACB">
      <w:pPr>
        <w:spacing w:line="360" w:lineRule="auto"/>
        <w:ind w:firstLine="435"/>
        <w:rPr>
          <w:rFonts w:hint="eastAsia" w:asciiTheme="minorEastAsia" w:hAnsiTheme="minorEastAsia" w:eastAsiaTheme="minorEastAsia"/>
          <w:sz w:val="24"/>
          <w:highlight w:val="none"/>
        </w:rPr>
      </w:pPr>
    </w:p>
    <w:p w14:paraId="404892E9">
      <w:pPr>
        <w:spacing w:line="360" w:lineRule="auto"/>
        <w:ind w:firstLine="435"/>
        <w:rPr>
          <w:rFonts w:hint="eastAsia" w:asciiTheme="minorEastAsia" w:hAnsiTheme="minorEastAsia" w:eastAsiaTheme="minorEastAsia"/>
          <w:sz w:val="24"/>
          <w:highlight w:val="none"/>
        </w:rPr>
      </w:pPr>
    </w:p>
    <w:p w14:paraId="41E86B18">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注：</w:t>
      </w:r>
    </w:p>
    <w:p w14:paraId="108E205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1.本项目只允许有唯一的投标人授权代表，提供身份证明</w:t>
      </w:r>
      <w:r>
        <w:rPr>
          <w:rFonts w:hint="eastAsia" w:hAnsi="宋体" w:eastAsia="宋体"/>
          <w:sz w:val="24"/>
          <w:highlight w:val="none"/>
          <w:lang w:eastAsia="zh-CN"/>
        </w:rPr>
        <w:t>复印件加盖单位公章</w:t>
      </w:r>
      <w:r>
        <w:rPr>
          <w:rFonts w:hint="eastAsia" w:asciiTheme="minorEastAsia" w:hAnsiTheme="minorEastAsia" w:eastAsiaTheme="minorEastAsia"/>
          <w:sz w:val="24"/>
          <w:highlight w:val="none"/>
        </w:rPr>
        <w:t>；</w:t>
      </w:r>
    </w:p>
    <w:p w14:paraId="1FE5ABD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2.法定代表人参加投标的无需提供授权书，提供身份证明</w:t>
      </w:r>
      <w:r>
        <w:rPr>
          <w:rFonts w:hint="eastAsia" w:hAnsi="宋体" w:eastAsia="宋体"/>
          <w:sz w:val="24"/>
          <w:highlight w:val="none"/>
          <w:lang w:eastAsia="zh-CN"/>
        </w:rPr>
        <w:t>复印件加盖单位公章</w:t>
      </w:r>
      <w:r>
        <w:rPr>
          <w:rFonts w:hint="eastAsia" w:asciiTheme="minorEastAsia" w:hAnsiTheme="minorEastAsia" w:eastAsiaTheme="minorEastAsia"/>
          <w:sz w:val="24"/>
          <w:highlight w:val="none"/>
        </w:rPr>
        <w:t>。</w:t>
      </w:r>
    </w:p>
    <w:p w14:paraId="0FBBA367">
      <w:pPr>
        <w:widowControl/>
        <w:jc w:val="left"/>
        <w:rPr>
          <w:rFonts w:hint="eastAsia" w:ascii="宋体" w:hAnsi="宋体" w:eastAsia="宋体" w:cs="宋体"/>
          <w:b/>
          <w:sz w:val="28"/>
          <w:szCs w:val="28"/>
          <w:highlight w:val="none"/>
          <w:u w:val="single"/>
        </w:rPr>
      </w:pPr>
      <w:r>
        <w:rPr>
          <w:rFonts w:asciiTheme="minorEastAsia" w:hAnsiTheme="minorEastAsia" w:eastAsiaTheme="minorEastAsia"/>
          <w:sz w:val="24"/>
          <w:highlight w:val="none"/>
        </w:rPr>
        <w:br w:type="page"/>
      </w:r>
    </w:p>
    <w:p w14:paraId="26B4771E">
      <w:pPr>
        <w:spacing w:line="360" w:lineRule="exact"/>
        <w:ind w:firstLine="413" w:firstLineChars="147"/>
        <w:rPr>
          <w:rFonts w:hint="eastAsia" w:ascii="宋体" w:hAnsi="宋体" w:eastAsia="宋体" w:cs="宋体"/>
          <w:b/>
          <w:sz w:val="28"/>
          <w:szCs w:val="28"/>
          <w:highlight w:val="none"/>
          <w:u w:val="single"/>
        </w:rPr>
      </w:pPr>
    </w:p>
    <w:p w14:paraId="2D0AEAFD">
      <w:pPr>
        <w:tabs>
          <w:tab w:val="left" w:pos="2772"/>
          <w:tab w:val="center" w:pos="4213"/>
        </w:tabs>
        <w:spacing w:line="360" w:lineRule="auto"/>
        <w:jc w:val="center"/>
        <w:outlineLvl w:val="1"/>
        <w:rPr>
          <w:rFonts w:hint="eastAsia" w:asciiTheme="minorEastAsia" w:hAnsiTheme="minorEastAsia" w:eastAsiaTheme="minorEastAsia"/>
          <w:b/>
          <w:sz w:val="24"/>
          <w:highlight w:val="none"/>
        </w:rPr>
      </w:pPr>
      <w:bookmarkStart w:id="86" w:name="_Toc8983"/>
      <w:bookmarkStart w:id="87" w:name="_Toc440443268"/>
      <w:bookmarkStart w:id="88" w:name="_Toc449028950"/>
      <w:r>
        <w:rPr>
          <w:rFonts w:hint="eastAsia" w:asciiTheme="minorEastAsia" w:hAnsiTheme="minorEastAsia" w:eastAsiaTheme="minorEastAsia"/>
          <w:b/>
          <w:sz w:val="24"/>
          <w:highlight w:val="none"/>
        </w:rPr>
        <w:t>五、投标分项报价表</w:t>
      </w:r>
      <w:bookmarkEnd w:id="86"/>
    </w:p>
    <w:p w14:paraId="78156889">
      <w:pPr>
        <w:spacing w:line="360" w:lineRule="auto"/>
        <w:ind w:firstLine="435"/>
        <w:rPr>
          <w:rFonts w:hint="eastAsia" w:asciiTheme="minorEastAsia" w:hAnsiTheme="minorEastAsia" w:eastAsiaTheme="minorEastAsia"/>
          <w:b/>
          <w:sz w:val="24"/>
          <w:highlight w:val="none"/>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443"/>
        <w:gridCol w:w="1436"/>
        <w:gridCol w:w="1436"/>
        <w:gridCol w:w="732"/>
        <w:gridCol w:w="732"/>
        <w:gridCol w:w="1024"/>
        <w:gridCol w:w="1024"/>
        <w:gridCol w:w="730"/>
      </w:tblGrid>
      <w:tr w14:paraId="1D52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171746B2">
            <w:pPr>
              <w:pStyle w:val="43"/>
              <w:widowControl w:val="0"/>
              <w:spacing w:before="0" w:beforeAutospacing="0" w:after="0" w:afterAutospacing="0"/>
              <w:rPr>
                <w:rFonts w:hint="eastAsia" w:asciiTheme="minorEastAsia" w:hAnsiTheme="minorEastAsia" w:eastAsiaTheme="minorEastAsia"/>
                <w:bCs w:val="0"/>
                <w:kern w:val="2"/>
                <w:sz w:val="24"/>
                <w:szCs w:val="20"/>
                <w:highlight w:val="none"/>
              </w:rPr>
            </w:pPr>
            <w:r>
              <w:rPr>
                <w:rFonts w:hint="eastAsia" w:asciiTheme="minorEastAsia" w:hAnsiTheme="minorEastAsia" w:eastAsiaTheme="minorEastAsia"/>
                <w:bCs w:val="0"/>
                <w:kern w:val="2"/>
                <w:sz w:val="24"/>
                <w:szCs w:val="20"/>
                <w:highlight w:val="none"/>
              </w:rPr>
              <w:t>序号</w:t>
            </w:r>
          </w:p>
        </w:tc>
        <w:tc>
          <w:tcPr>
            <w:tcW w:w="777" w:type="pct"/>
            <w:vAlign w:val="center"/>
          </w:tcPr>
          <w:p w14:paraId="37B7774E">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货物名称</w:t>
            </w:r>
          </w:p>
        </w:tc>
        <w:tc>
          <w:tcPr>
            <w:tcW w:w="773" w:type="pct"/>
            <w:vAlign w:val="center"/>
          </w:tcPr>
          <w:p w14:paraId="6E18846C">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品牌、型</w:t>
            </w:r>
          </w:p>
          <w:p w14:paraId="6A97AA6F">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号</w:t>
            </w:r>
          </w:p>
        </w:tc>
        <w:tc>
          <w:tcPr>
            <w:tcW w:w="773" w:type="pct"/>
            <w:vAlign w:val="center"/>
          </w:tcPr>
          <w:p w14:paraId="6FF510B3">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原产地及</w:t>
            </w:r>
          </w:p>
          <w:p w14:paraId="127BA7AF">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生产厂商</w:t>
            </w:r>
          </w:p>
        </w:tc>
        <w:tc>
          <w:tcPr>
            <w:tcW w:w="394" w:type="pct"/>
            <w:vAlign w:val="center"/>
          </w:tcPr>
          <w:p w14:paraId="1515A6B6">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单位</w:t>
            </w:r>
          </w:p>
        </w:tc>
        <w:tc>
          <w:tcPr>
            <w:tcW w:w="394" w:type="pct"/>
            <w:vAlign w:val="center"/>
          </w:tcPr>
          <w:p w14:paraId="627B1746">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数量</w:t>
            </w:r>
          </w:p>
        </w:tc>
        <w:tc>
          <w:tcPr>
            <w:tcW w:w="551" w:type="pct"/>
            <w:vAlign w:val="center"/>
          </w:tcPr>
          <w:p w14:paraId="09D58725">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单价</w:t>
            </w:r>
          </w:p>
          <w:p w14:paraId="54526520">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（元）</w:t>
            </w:r>
          </w:p>
        </w:tc>
        <w:tc>
          <w:tcPr>
            <w:tcW w:w="551" w:type="pct"/>
            <w:vAlign w:val="center"/>
          </w:tcPr>
          <w:p w14:paraId="002E8986">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小计</w:t>
            </w:r>
          </w:p>
          <w:p w14:paraId="281452E9">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（元）</w:t>
            </w:r>
          </w:p>
        </w:tc>
        <w:tc>
          <w:tcPr>
            <w:tcW w:w="393" w:type="pct"/>
            <w:vAlign w:val="center"/>
          </w:tcPr>
          <w:p w14:paraId="5C17F4EA">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备注</w:t>
            </w:r>
          </w:p>
        </w:tc>
      </w:tr>
      <w:tr w14:paraId="27CC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16EF1406">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777" w:type="pct"/>
          </w:tcPr>
          <w:p w14:paraId="53926E32">
            <w:pPr>
              <w:rPr>
                <w:rFonts w:hint="eastAsia" w:asciiTheme="minorEastAsia" w:hAnsiTheme="minorEastAsia" w:eastAsiaTheme="minorEastAsia"/>
                <w:sz w:val="24"/>
                <w:highlight w:val="none"/>
              </w:rPr>
            </w:pPr>
          </w:p>
        </w:tc>
        <w:tc>
          <w:tcPr>
            <w:tcW w:w="773" w:type="pct"/>
          </w:tcPr>
          <w:p w14:paraId="07F885FD">
            <w:pPr>
              <w:rPr>
                <w:rFonts w:hint="eastAsia" w:asciiTheme="minorEastAsia" w:hAnsiTheme="minorEastAsia" w:eastAsiaTheme="minorEastAsia"/>
                <w:sz w:val="24"/>
                <w:highlight w:val="none"/>
              </w:rPr>
            </w:pPr>
          </w:p>
        </w:tc>
        <w:tc>
          <w:tcPr>
            <w:tcW w:w="773" w:type="pct"/>
          </w:tcPr>
          <w:p w14:paraId="58AB04D2">
            <w:pPr>
              <w:rPr>
                <w:rFonts w:hint="eastAsia" w:asciiTheme="minorEastAsia" w:hAnsiTheme="minorEastAsia" w:eastAsiaTheme="minorEastAsia"/>
                <w:sz w:val="24"/>
                <w:highlight w:val="none"/>
              </w:rPr>
            </w:pPr>
          </w:p>
        </w:tc>
        <w:tc>
          <w:tcPr>
            <w:tcW w:w="394" w:type="pct"/>
          </w:tcPr>
          <w:p w14:paraId="783E8512">
            <w:pPr>
              <w:rPr>
                <w:rFonts w:hint="eastAsia" w:asciiTheme="minorEastAsia" w:hAnsiTheme="minorEastAsia" w:eastAsiaTheme="minorEastAsia"/>
                <w:sz w:val="24"/>
                <w:highlight w:val="none"/>
              </w:rPr>
            </w:pPr>
          </w:p>
        </w:tc>
        <w:tc>
          <w:tcPr>
            <w:tcW w:w="394" w:type="pct"/>
          </w:tcPr>
          <w:p w14:paraId="0AD1DE91">
            <w:pPr>
              <w:rPr>
                <w:rFonts w:hint="eastAsia" w:asciiTheme="minorEastAsia" w:hAnsiTheme="minorEastAsia" w:eastAsiaTheme="minorEastAsia"/>
                <w:sz w:val="24"/>
                <w:highlight w:val="none"/>
              </w:rPr>
            </w:pPr>
          </w:p>
        </w:tc>
        <w:tc>
          <w:tcPr>
            <w:tcW w:w="551" w:type="pct"/>
          </w:tcPr>
          <w:p w14:paraId="2D7BCE77">
            <w:pPr>
              <w:rPr>
                <w:rFonts w:hint="eastAsia" w:asciiTheme="minorEastAsia" w:hAnsiTheme="minorEastAsia" w:eastAsiaTheme="minorEastAsia"/>
                <w:sz w:val="24"/>
                <w:highlight w:val="none"/>
              </w:rPr>
            </w:pPr>
          </w:p>
        </w:tc>
        <w:tc>
          <w:tcPr>
            <w:tcW w:w="551" w:type="pct"/>
          </w:tcPr>
          <w:p w14:paraId="112D4784">
            <w:pPr>
              <w:rPr>
                <w:rFonts w:hint="eastAsia" w:asciiTheme="minorEastAsia" w:hAnsiTheme="minorEastAsia" w:eastAsiaTheme="minorEastAsia"/>
                <w:sz w:val="24"/>
                <w:highlight w:val="none"/>
              </w:rPr>
            </w:pPr>
          </w:p>
        </w:tc>
        <w:tc>
          <w:tcPr>
            <w:tcW w:w="393" w:type="pct"/>
          </w:tcPr>
          <w:p w14:paraId="1CB1A85A">
            <w:pPr>
              <w:rPr>
                <w:rFonts w:hint="eastAsia" w:asciiTheme="minorEastAsia" w:hAnsiTheme="minorEastAsia" w:eastAsiaTheme="minorEastAsia"/>
                <w:sz w:val="24"/>
                <w:highlight w:val="none"/>
              </w:rPr>
            </w:pPr>
          </w:p>
        </w:tc>
      </w:tr>
      <w:tr w14:paraId="76DF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0FDEE42">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777" w:type="pct"/>
          </w:tcPr>
          <w:p w14:paraId="3AF83125">
            <w:pPr>
              <w:rPr>
                <w:rFonts w:hint="eastAsia" w:asciiTheme="minorEastAsia" w:hAnsiTheme="minorEastAsia" w:eastAsiaTheme="minorEastAsia"/>
                <w:sz w:val="24"/>
                <w:highlight w:val="none"/>
              </w:rPr>
            </w:pPr>
          </w:p>
        </w:tc>
        <w:tc>
          <w:tcPr>
            <w:tcW w:w="773" w:type="pct"/>
          </w:tcPr>
          <w:p w14:paraId="392673C9">
            <w:pPr>
              <w:rPr>
                <w:rFonts w:hint="eastAsia" w:asciiTheme="minorEastAsia" w:hAnsiTheme="minorEastAsia" w:eastAsiaTheme="minorEastAsia"/>
                <w:sz w:val="24"/>
                <w:highlight w:val="none"/>
              </w:rPr>
            </w:pPr>
          </w:p>
        </w:tc>
        <w:tc>
          <w:tcPr>
            <w:tcW w:w="773" w:type="pct"/>
          </w:tcPr>
          <w:p w14:paraId="3F88468F">
            <w:pPr>
              <w:rPr>
                <w:rFonts w:hint="eastAsia" w:asciiTheme="minorEastAsia" w:hAnsiTheme="minorEastAsia" w:eastAsiaTheme="minorEastAsia"/>
                <w:sz w:val="24"/>
                <w:highlight w:val="none"/>
              </w:rPr>
            </w:pPr>
          </w:p>
        </w:tc>
        <w:tc>
          <w:tcPr>
            <w:tcW w:w="394" w:type="pct"/>
          </w:tcPr>
          <w:p w14:paraId="252D5162">
            <w:pPr>
              <w:rPr>
                <w:rFonts w:hint="eastAsia" w:asciiTheme="minorEastAsia" w:hAnsiTheme="minorEastAsia" w:eastAsiaTheme="minorEastAsia"/>
                <w:sz w:val="24"/>
                <w:highlight w:val="none"/>
              </w:rPr>
            </w:pPr>
          </w:p>
        </w:tc>
        <w:tc>
          <w:tcPr>
            <w:tcW w:w="394" w:type="pct"/>
          </w:tcPr>
          <w:p w14:paraId="32F10E3E">
            <w:pPr>
              <w:rPr>
                <w:rFonts w:hint="eastAsia" w:asciiTheme="minorEastAsia" w:hAnsiTheme="minorEastAsia" w:eastAsiaTheme="minorEastAsia"/>
                <w:sz w:val="24"/>
                <w:highlight w:val="none"/>
              </w:rPr>
            </w:pPr>
          </w:p>
        </w:tc>
        <w:tc>
          <w:tcPr>
            <w:tcW w:w="551" w:type="pct"/>
          </w:tcPr>
          <w:p w14:paraId="4A1E9C27">
            <w:pPr>
              <w:rPr>
                <w:rFonts w:hint="eastAsia" w:asciiTheme="minorEastAsia" w:hAnsiTheme="minorEastAsia" w:eastAsiaTheme="minorEastAsia"/>
                <w:sz w:val="24"/>
                <w:highlight w:val="none"/>
              </w:rPr>
            </w:pPr>
          </w:p>
        </w:tc>
        <w:tc>
          <w:tcPr>
            <w:tcW w:w="551" w:type="pct"/>
          </w:tcPr>
          <w:p w14:paraId="63C56136">
            <w:pPr>
              <w:rPr>
                <w:rFonts w:hint="eastAsia" w:asciiTheme="minorEastAsia" w:hAnsiTheme="minorEastAsia" w:eastAsiaTheme="minorEastAsia"/>
                <w:sz w:val="24"/>
                <w:highlight w:val="none"/>
              </w:rPr>
            </w:pPr>
          </w:p>
        </w:tc>
        <w:tc>
          <w:tcPr>
            <w:tcW w:w="393" w:type="pct"/>
          </w:tcPr>
          <w:p w14:paraId="18D4228B">
            <w:pPr>
              <w:rPr>
                <w:rFonts w:hint="eastAsia" w:asciiTheme="minorEastAsia" w:hAnsiTheme="minorEastAsia" w:eastAsiaTheme="minorEastAsia"/>
                <w:sz w:val="24"/>
                <w:highlight w:val="none"/>
              </w:rPr>
            </w:pPr>
          </w:p>
        </w:tc>
      </w:tr>
      <w:tr w14:paraId="38D0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66B3CFD">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777" w:type="pct"/>
          </w:tcPr>
          <w:p w14:paraId="48ADC2D1">
            <w:pPr>
              <w:rPr>
                <w:rFonts w:hint="eastAsia" w:asciiTheme="minorEastAsia" w:hAnsiTheme="minorEastAsia" w:eastAsiaTheme="minorEastAsia"/>
                <w:sz w:val="24"/>
                <w:highlight w:val="none"/>
              </w:rPr>
            </w:pPr>
          </w:p>
        </w:tc>
        <w:tc>
          <w:tcPr>
            <w:tcW w:w="773" w:type="pct"/>
          </w:tcPr>
          <w:p w14:paraId="2741F237">
            <w:pPr>
              <w:rPr>
                <w:rFonts w:hint="eastAsia" w:asciiTheme="minorEastAsia" w:hAnsiTheme="minorEastAsia" w:eastAsiaTheme="minorEastAsia"/>
                <w:sz w:val="24"/>
                <w:highlight w:val="none"/>
              </w:rPr>
            </w:pPr>
          </w:p>
        </w:tc>
        <w:tc>
          <w:tcPr>
            <w:tcW w:w="773" w:type="pct"/>
          </w:tcPr>
          <w:p w14:paraId="39BC9BC9">
            <w:pPr>
              <w:rPr>
                <w:rFonts w:hint="eastAsia" w:asciiTheme="minorEastAsia" w:hAnsiTheme="minorEastAsia" w:eastAsiaTheme="minorEastAsia"/>
                <w:sz w:val="24"/>
                <w:highlight w:val="none"/>
              </w:rPr>
            </w:pPr>
          </w:p>
        </w:tc>
        <w:tc>
          <w:tcPr>
            <w:tcW w:w="394" w:type="pct"/>
          </w:tcPr>
          <w:p w14:paraId="29C313BC">
            <w:pPr>
              <w:rPr>
                <w:rFonts w:hint="eastAsia" w:asciiTheme="minorEastAsia" w:hAnsiTheme="minorEastAsia" w:eastAsiaTheme="minorEastAsia"/>
                <w:sz w:val="24"/>
                <w:highlight w:val="none"/>
              </w:rPr>
            </w:pPr>
          </w:p>
        </w:tc>
        <w:tc>
          <w:tcPr>
            <w:tcW w:w="394" w:type="pct"/>
          </w:tcPr>
          <w:p w14:paraId="31939531">
            <w:pPr>
              <w:rPr>
                <w:rFonts w:hint="eastAsia" w:asciiTheme="minorEastAsia" w:hAnsiTheme="minorEastAsia" w:eastAsiaTheme="minorEastAsia"/>
                <w:sz w:val="24"/>
                <w:highlight w:val="none"/>
              </w:rPr>
            </w:pPr>
          </w:p>
        </w:tc>
        <w:tc>
          <w:tcPr>
            <w:tcW w:w="551" w:type="pct"/>
          </w:tcPr>
          <w:p w14:paraId="4B984F43">
            <w:pPr>
              <w:rPr>
                <w:rFonts w:hint="eastAsia" w:asciiTheme="minorEastAsia" w:hAnsiTheme="minorEastAsia" w:eastAsiaTheme="minorEastAsia"/>
                <w:sz w:val="24"/>
                <w:highlight w:val="none"/>
              </w:rPr>
            </w:pPr>
          </w:p>
        </w:tc>
        <w:tc>
          <w:tcPr>
            <w:tcW w:w="551" w:type="pct"/>
          </w:tcPr>
          <w:p w14:paraId="5714A6DD">
            <w:pPr>
              <w:rPr>
                <w:rFonts w:hint="eastAsia" w:asciiTheme="minorEastAsia" w:hAnsiTheme="minorEastAsia" w:eastAsiaTheme="minorEastAsia"/>
                <w:sz w:val="24"/>
                <w:highlight w:val="none"/>
              </w:rPr>
            </w:pPr>
          </w:p>
        </w:tc>
        <w:tc>
          <w:tcPr>
            <w:tcW w:w="393" w:type="pct"/>
          </w:tcPr>
          <w:p w14:paraId="6BD9E43D">
            <w:pPr>
              <w:rPr>
                <w:rFonts w:hint="eastAsia" w:asciiTheme="minorEastAsia" w:hAnsiTheme="minorEastAsia" w:eastAsiaTheme="minorEastAsia"/>
                <w:sz w:val="24"/>
                <w:highlight w:val="none"/>
              </w:rPr>
            </w:pPr>
          </w:p>
        </w:tc>
      </w:tr>
      <w:tr w14:paraId="116F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447A8D7">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777" w:type="pct"/>
          </w:tcPr>
          <w:p w14:paraId="31A1EAB0">
            <w:pPr>
              <w:rPr>
                <w:rFonts w:hint="eastAsia" w:asciiTheme="minorEastAsia" w:hAnsiTheme="minorEastAsia" w:eastAsiaTheme="minorEastAsia"/>
                <w:sz w:val="24"/>
                <w:highlight w:val="none"/>
              </w:rPr>
            </w:pPr>
          </w:p>
        </w:tc>
        <w:tc>
          <w:tcPr>
            <w:tcW w:w="773" w:type="pct"/>
          </w:tcPr>
          <w:p w14:paraId="2BCBE4AF">
            <w:pPr>
              <w:rPr>
                <w:rFonts w:hint="eastAsia" w:asciiTheme="minorEastAsia" w:hAnsiTheme="minorEastAsia" w:eastAsiaTheme="minorEastAsia"/>
                <w:sz w:val="24"/>
                <w:highlight w:val="none"/>
              </w:rPr>
            </w:pPr>
          </w:p>
        </w:tc>
        <w:tc>
          <w:tcPr>
            <w:tcW w:w="773" w:type="pct"/>
          </w:tcPr>
          <w:p w14:paraId="50D6AEFB">
            <w:pPr>
              <w:rPr>
                <w:rFonts w:hint="eastAsia" w:asciiTheme="minorEastAsia" w:hAnsiTheme="minorEastAsia" w:eastAsiaTheme="minorEastAsia"/>
                <w:sz w:val="24"/>
                <w:highlight w:val="none"/>
              </w:rPr>
            </w:pPr>
          </w:p>
        </w:tc>
        <w:tc>
          <w:tcPr>
            <w:tcW w:w="394" w:type="pct"/>
          </w:tcPr>
          <w:p w14:paraId="478B7653">
            <w:pPr>
              <w:rPr>
                <w:rFonts w:hint="eastAsia" w:asciiTheme="minorEastAsia" w:hAnsiTheme="minorEastAsia" w:eastAsiaTheme="minorEastAsia"/>
                <w:sz w:val="24"/>
                <w:highlight w:val="none"/>
              </w:rPr>
            </w:pPr>
          </w:p>
        </w:tc>
        <w:tc>
          <w:tcPr>
            <w:tcW w:w="394" w:type="pct"/>
          </w:tcPr>
          <w:p w14:paraId="51442451">
            <w:pPr>
              <w:rPr>
                <w:rFonts w:hint="eastAsia" w:asciiTheme="minorEastAsia" w:hAnsiTheme="minorEastAsia" w:eastAsiaTheme="minorEastAsia"/>
                <w:sz w:val="24"/>
                <w:highlight w:val="none"/>
              </w:rPr>
            </w:pPr>
          </w:p>
        </w:tc>
        <w:tc>
          <w:tcPr>
            <w:tcW w:w="551" w:type="pct"/>
          </w:tcPr>
          <w:p w14:paraId="7728176E">
            <w:pPr>
              <w:rPr>
                <w:rFonts w:hint="eastAsia" w:asciiTheme="minorEastAsia" w:hAnsiTheme="minorEastAsia" w:eastAsiaTheme="minorEastAsia"/>
                <w:sz w:val="24"/>
                <w:highlight w:val="none"/>
              </w:rPr>
            </w:pPr>
          </w:p>
        </w:tc>
        <w:tc>
          <w:tcPr>
            <w:tcW w:w="551" w:type="pct"/>
          </w:tcPr>
          <w:p w14:paraId="09A8D748">
            <w:pPr>
              <w:rPr>
                <w:rFonts w:hint="eastAsia" w:asciiTheme="minorEastAsia" w:hAnsiTheme="minorEastAsia" w:eastAsiaTheme="minorEastAsia"/>
                <w:sz w:val="24"/>
                <w:highlight w:val="none"/>
              </w:rPr>
            </w:pPr>
          </w:p>
        </w:tc>
        <w:tc>
          <w:tcPr>
            <w:tcW w:w="393" w:type="pct"/>
          </w:tcPr>
          <w:p w14:paraId="0819B18A">
            <w:pPr>
              <w:rPr>
                <w:rFonts w:hint="eastAsia" w:asciiTheme="minorEastAsia" w:hAnsiTheme="minorEastAsia" w:eastAsiaTheme="minorEastAsia"/>
                <w:sz w:val="24"/>
                <w:highlight w:val="none"/>
              </w:rPr>
            </w:pPr>
          </w:p>
        </w:tc>
      </w:tr>
      <w:tr w14:paraId="0322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8E1F4DC">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777" w:type="pct"/>
          </w:tcPr>
          <w:p w14:paraId="411FAC4B">
            <w:pPr>
              <w:rPr>
                <w:rFonts w:hint="eastAsia" w:asciiTheme="minorEastAsia" w:hAnsiTheme="minorEastAsia" w:eastAsiaTheme="minorEastAsia"/>
                <w:sz w:val="24"/>
                <w:highlight w:val="none"/>
              </w:rPr>
            </w:pPr>
          </w:p>
        </w:tc>
        <w:tc>
          <w:tcPr>
            <w:tcW w:w="773" w:type="pct"/>
          </w:tcPr>
          <w:p w14:paraId="646B6C71">
            <w:pPr>
              <w:rPr>
                <w:rFonts w:hint="eastAsia" w:asciiTheme="minorEastAsia" w:hAnsiTheme="minorEastAsia" w:eastAsiaTheme="minorEastAsia"/>
                <w:sz w:val="24"/>
                <w:highlight w:val="none"/>
              </w:rPr>
            </w:pPr>
          </w:p>
        </w:tc>
        <w:tc>
          <w:tcPr>
            <w:tcW w:w="773" w:type="pct"/>
          </w:tcPr>
          <w:p w14:paraId="55E2704A">
            <w:pPr>
              <w:rPr>
                <w:rFonts w:hint="eastAsia" w:asciiTheme="minorEastAsia" w:hAnsiTheme="minorEastAsia" w:eastAsiaTheme="minorEastAsia"/>
                <w:sz w:val="24"/>
                <w:highlight w:val="none"/>
              </w:rPr>
            </w:pPr>
          </w:p>
        </w:tc>
        <w:tc>
          <w:tcPr>
            <w:tcW w:w="394" w:type="pct"/>
          </w:tcPr>
          <w:p w14:paraId="575E3B06">
            <w:pPr>
              <w:rPr>
                <w:rFonts w:hint="eastAsia" w:asciiTheme="minorEastAsia" w:hAnsiTheme="minorEastAsia" w:eastAsiaTheme="minorEastAsia"/>
                <w:sz w:val="24"/>
                <w:highlight w:val="none"/>
              </w:rPr>
            </w:pPr>
          </w:p>
        </w:tc>
        <w:tc>
          <w:tcPr>
            <w:tcW w:w="394" w:type="pct"/>
          </w:tcPr>
          <w:p w14:paraId="6F7A5C6A">
            <w:pPr>
              <w:rPr>
                <w:rFonts w:hint="eastAsia" w:asciiTheme="minorEastAsia" w:hAnsiTheme="minorEastAsia" w:eastAsiaTheme="minorEastAsia"/>
                <w:sz w:val="24"/>
                <w:highlight w:val="none"/>
              </w:rPr>
            </w:pPr>
          </w:p>
        </w:tc>
        <w:tc>
          <w:tcPr>
            <w:tcW w:w="551" w:type="pct"/>
          </w:tcPr>
          <w:p w14:paraId="3712A7C9">
            <w:pPr>
              <w:rPr>
                <w:rFonts w:hint="eastAsia" w:asciiTheme="minorEastAsia" w:hAnsiTheme="minorEastAsia" w:eastAsiaTheme="minorEastAsia"/>
                <w:sz w:val="24"/>
                <w:highlight w:val="none"/>
              </w:rPr>
            </w:pPr>
          </w:p>
        </w:tc>
        <w:tc>
          <w:tcPr>
            <w:tcW w:w="551" w:type="pct"/>
          </w:tcPr>
          <w:p w14:paraId="7BFB369C">
            <w:pPr>
              <w:rPr>
                <w:rFonts w:hint="eastAsia" w:asciiTheme="minorEastAsia" w:hAnsiTheme="minorEastAsia" w:eastAsiaTheme="minorEastAsia"/>
                <w:sz w:val="24"/>
                <w:highlight w:val="none"/>
              </w:rPr>
            </w:pPr>
          </w:p>
        </w:tc>
        <w:tc>
          <w:tcPr>
            <w:tcW w:w="393" w:type="pct"/>
          </w:tcPr>
          <w:p w14:paraId="23DE0FB8">
            <w:pPr>
              <w:rPr>
                <w:rFonts w:hint="eastAsia" w:asciiTheme="minorEastAsia" w:hAnsiTheme="minorEastAsia" w:eastAsiaTheme="minorEastAsia"/>
                <w:sz w:val="24"/>
                <w:highlight w:val="none"/>
              </w:rPr>
            </w:pPr>
          </w:p>
        </w:tc>
      </w:tr>
      <w:tr w14:paraId="597E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FA019EA">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p>
        </w:tc>
        <w:tc>
          <w:tcPr>
            <w:tcW w:w="777" w:type="pct"/>
          </w:tcPr>
          <w:p w14:paraId="22873F1F">
            <w:pPr>
              <w:rPr>
                <w:rFonts w:hint="eastAsia" w:asciiTheme="minorEastAsia" w:hAnsiTheme="minorEastAsia" w:eastAsiaTheme="minorEastAsia"/>
                <w:sz w:val="24"/>
                <w:highlight w:val="none"/>
              </w:rPr>
            </w:pPr>
          </w:p>
        </w:tc>
        <w:tc>
          <w:tcPr>
            <w:tcW w:w="773" w:type="pct"/>
          </w:tcPr>
          <w:p w14:paraId="3483502D">
            <w:pPr>
              <w:rPr>
                <w:rFonts w:hint="eastAsia" w:asciiTheme="minorEastAsia" w:hAnsiTheme="minorEastAsia" w:eastAsiaTheme="minorEastAsia"/>
                <w:sz w:val="24"/>
                <w:highlight w:val="none"/>
              </w:rPr>
            </w:pPr>
          </w:p>
        </w:tc>
        <w:tc>
          <w:tcPr>
            <w:tcW w:w="773" w:type="pct"/>
          </w:tcPr>
          <w:p w14:paraId="2BD6F243">
            <w:pPr>
              <w:rPr>
                <w:rFonts w:hint="eastAsia" w:asciiTheme="minorEastAsia" w:hAnsiTheme="minorEastAsia" w:eastAsiaTheme="minorEastAsia"/>
                <w:sz w:val="24"/>
                <w:highlight w:val="none"/>
              </w:rPr>
            </w:pPr>
          </w:p>
        </w:tc>
        <w:tc>
          <w:tcPr>
            <w:tcW w:w="394" w:type="pct"/>
          </w:tcPr>
          <w:p w14:paraId="4F9FE93A">
            <w:pPr>
              <w:rPr>
                <w:rFonts w:hint="eastAsia" w:asciiTheme="minorEastAsia" w:hAnsiTheme="minorEastAsia" w:eastAsiaTheme="minorEastAsia"/>
                <w:sz w:val="24"/>
                <w:highlight w:val="none"/>
              </w:rPr>
            </w:pPr>
          </w:p>
        </w:tc>
        <w:tc>
          <w:tcPr>
            <w:tcW w:w="394" w:type="pct"/>
          </w:tcPr>
          <w:p w14:paraId="521CCADE">
            <w:pPr>
              <w:rPr>
                <w:rFonts w:hint="eastAsia" w:asciiTheme="minorEastAsia" w:hAnsiTheme="minorEastAsia" w:eastAsiaTheme="minorEastAsia"/>
                <w:sz w:val="24"/>
                <w:highlight w:val="none"/>
              </w:rPr>
            </w:pPr>
          </w:p>
        </w:tc>
        <w:tc>
          <w:tcPr>
            <w:tcW w:w="551" w:type="pct"/>
          </w:tcPr>
          <w:p w14:paraId="65C040AC">
            <w:pPr>
              <w:rPr>
                <w:rFonts w:hint="eastAsia" w:asciiTheme="minorEastAsia" w:hAnsiTheme="minorEastAsia" w:eastAsiaTheme="minorEastAsia"/>
                <w:sz w:val="24"/>
                <w:highlight w:val="none"/>
              </w:rPr>
            </w:pPr>
          </w:p>
        </w:tc>
        <w:tc>
          <w:tcPr>
            <w:tcW w:w="551" w:type="pct"/>
          </w:tcPr>
          <w:p w14:paraId="6181EDAA">
            <w:pPr>
              <w:rPr>
                <w:rFonts w:hint="eastAsia" w:asciiTheme="minorEastAsia" w:hAnsiTheme="minorEastAsia" w:eastAsiaTheme="minorEastAsia"/>
                <w:sz w:val="24"/>
                <w:highlight w:val="none"/>
              </w:rPr>
            </w:pPr>
          </w:p>
        </w:tc>
        <w:tc>
          <w:tcPr>
            <w:tcW w:w="393" w:type="pct"/>
          </w:tcPr>
          <w:p w14:paraId="06551741">
            <w:pPr>
              <w:rPr>
                <w:rFonts w:hint="eastAsia" w:asciiTheme="minorEastAsia" w:hAnsiTheme="minorEastAsia" w:eastAsiaTheme="minorEastAsia"/>
                <w:sz w:val="24"/>
                <w:highlight w:val="none"/>
              </w:rPr>
            </w:pPr>
          </w:p>
        </w:tc>
      </w:tr>
      <w:tr w14:paraId="43D5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0D5FF07">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p>
        </w:tc>
        <w:tc>
          <w:tcPr>
            <w:tcW w:w="777" w:type="pct"/>
          </w:tcPr>
          <w:p w14:paraId="15688F2F">
            <w:pPr>
              <w:rPr>
                <w:rFonts w:hint="eastAsia" w:asciiTheme="minorEastAsia" w:hAnsiTheme="minorEastAsia" w:eastAsiaTheme="minorEastAsia"/>
                <w:sz w:val="24"/>
                <w:highlight w:val="none"/>
              </w:rPr>
            </w:pPr>
          </w:p>
        </w:tc>
        <w:tc>
          <w:tcPr>
            <w:tcW w:w="773" w:type="pct"/>
          </w:tcPr>
          <w:p w14:paraId="18CCF107">
            <w:pPr>
              <w:rPr>
                <w:rFonts w:hint="eastAsia" w:asciiTheme="minorEastAsia" w:hAnsiTheme="minorEastAsia" w:eastAsiaTheme="minorEastAsia"/>
                <w:sz w:val="24"/>
                <w:highlight w:val="none"/>
              </w:rPr>
            </w:pPr>
          </w:p>
        </w:tc>
        <w:tc>
          <w:tcPr>
            <w:tcW w:w="773" w:type="pct"/>
          </w:tcPr>
          <w:p w14:paraId="1EAF1FBF">
            <w:pPr>
              <w:rPr>
                <w:rFonts w:hint="eastAsia" w:asciiTheme="minorEastAsia" w:hAnsiTheme="minorEastAsia" w:eastAsiaTheme="minorEastAsia"/>
                <w:sz w:val="24"/>
                <w:highlight w:val="none"/>
              </w:rPr>
            </w:pPr>
          </w:p>
        </w:tc>
        <w:tc>
          <w:tcPr>
            <w:tcW w:w="394" w:type="pct"/>
          </w:tcPr>
          <w:p w14:paraId="6F6E86D3">
            <w:pPr>
              <w:rPr>
                <w:rFonts w:hint="eastAsia" w:asciiTheme="minorEastAsia" w:hAnsiTheme="minorEastAsia" w:eastAsiaTheme="minorEastAsia"/>
                <w:sz w:val="24"/>
                <w:highlight w:val="none"/>
              </w:rPr>
            </w:pPr>
          </w:p>
        </w:tc>
        <w:tc>
          <w:tcPr>
            <w:tcW w:w="394" w:type="pct"/>
          </w:tcPr>
          <w:p w14:paraId="1E6492D6">
            <w:pPr>
              <w:rPr>
                <w:rFonts w:hint="eastAsia" w:asciiTheme="minorEastAsia" w:hAnsiTheme="minorEastAsia" w:eastAsiaTheme="minorEastAsia"/>
                <w:sz w:val="24"/>
                <w:highlight w:val="none"/>
              </w:rPr>
            </w:pPr>
          </w:p>
        </w:tc>
        <w:tc>
          <w:tcPr>
            <w:tcW w:w="551" w:type="pct"/>
          </w:tcPr>
          <w:p w14:paraId="36359734">
            <w:pPr>
              <w:rPr>
                <w:rFonts w:hint="eastAsia" w:asciiTheme="minorEastAsia" w:hAnsiTheme="minorEastAsia" w:eastAsiaTheme="minorEastAsia"/>
                <w:sz w:val="24"/>
                <w:highlight w:val="none"/>
              </w:rPr>
            </w:pPr>
          </w:p>
        </w:tc>
        <w:tc>
          <w:tcPr>
            <w:tcW w:w="551" w:type="pct"/>
          </w:tcPr>
          <w:p w14:paraId="2A064FFC">
            <w:pPr>
              <w:rPr>
                <w:rFonts w:hint="eastAsia" w:asciiTheme="minorEastAsia" w:hAnsiTheme="minorEastAsia" w:eastAsiaTheme="minorEastAsia"/>
                <w:sz w:val="24"/>
                <w:highlight w:val="none"/>
              </w:rPr>
            </w:pPr>
          </w:p>
        </w:tc>
        <w:tc>
          <w:tcPr>
            <w:tcW w:w="393" w:type="pct"/>
          </w:tcPr>
          <w:p w14:paraId="3FBEE83A">
            <w:pPr>
              <w:rPr>
                <w:rFonts w:hint="eastAsia" w:asciiTheme="minorEastAsia" w:hAnsiTheme="minorEastAsia" w:eastAsiaTheme="minorEastAsia"/>
                <w:sz w:val="24"/>
                <w:highlight w:val="none"/>
              </w:rPr>
            </w:pPr>
          </w:p>
        </w:tc>
      </w:tr>
      <w:tr w14:paraId="5D51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B96535C">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w:t>
            </w:r>
          </w:p>
        </w:tc>
        <w:tc>
          <w:tcPr>
            <w:tcW w:w="777" w:type="pct"/>
          </w:tcPr>
          <w:p w14:paraId="2BEF975D">
            <w:pPr>
              <w:rPr>
                <w:rFonts w:hint="eastAsia" w:asciiTheme="minorEastAsia" w:hAnsiTheme="minorEastAsia" w:eastAsiaTheme="minorEastAsia"/>
                <w:sz w:val="24"/>
                <w:highlight w:val="none"/>
              </w:rPr>
            </w:pPr>
          </w:p>
        </w:tc>
        <w:tc>
          <w:tcPr>
            <w:tcW w:w="773" w:type="pct"/>
          </w:tcPr>
          <w:p w14:paraId="1E3C7211">
            <w:pPr>
              <w:rPr>
                <w:rFonts w:hint="eastAsia" w:asciiTheme="minorEastAsia" w:hAnsiTheme="minorEastAsia" w:eastAsiaTheme="minorEastAsia"/>
                <w:sz w:val="24"/>
                <w:highlight w:val="none"/>
              </w:rPr>
            </w:pPr>
          </w:p>
        </w:tc>
        <w:tc>
          <w:tcPr>
            <w:tcW w:w="773" w:type="pct"/>
          </w:tcPr>
          <w:p w14:paraId="56A78BEF">
            <w:pPr>
              <w:rPr>
                <w:rFonts w:hint="eastAsia" w:asciiTheme="minorEastAsia" w:hAnsiTheme="minorEastAsia" w:eastAsiaTheme="minorEastAsia"/>
                <w:sz w:val="24"/>
                <w:highlight w:val="none"/>
              </w:rPr>
            </w:pPr>
          </w:p>
        </w:tc>
        <w:tc>
          <w:tcPr>
            <w:tcW w:w="394" w:type="pct"/>
          </w:tcPr>
          <w:p w14:paraId="3B02F847">
            <w:pPr>
              <w:rPr>
                <w:rFonts w:hint="eastAsia" w:asciiTheme="minorEastAsia" w:hAnsiTheme="minorEastAsia" w:eastAsiaTheme="minorEastAsia"/>
                <w:sz w:val="24"/>
                <w:highlight w:val="none"/>
              </w:rPr>
            </w:pPr>
          </w:p>
        </w:tc>
        <w:tc>
          <w:tcPr>
            <w:tcW w:w="394" w:type="pct"/>
          </w:tcPr>
          <w:p w14:paraId="68B3238E">
            <w:pPr>
              <w:rPr>
                <w:rFonts w:hint="eastAsia" w:asciiTheme="minorEastAsia" w:hAnsiTheme="minorEastAsia" w:eastAsiaTheme="minorEastAsia"/>
                <w:sz w:val="24"/>
                <w:highlight w:val="none"/>
              </w:rPr>
            </w:pPr>
          </w:p>
        </w:tc>
        <w:tc>
          <w:tcPr>
            <w:tcW w:w="551" w:type="pct"/>
          </w:tcPr>
          <w:p w14:paraId="698B739E">
            <w:pPr>
              <w:rPr>
                <w:rFonts w:hint="eastAsia" w:asciiTheme="minorEastAsia" w:hAnsiTheme="minorEastAsia" w:eastAsiaTheme="minorEastAsia"/>
                <w:sz w:val="24"/>
                <w:highlight w:val="none"/>
              </w:rPr>
            </w:pPr>
          </w:p>
        </w:tc>
        <w:tc>
          <w:tcPr>
            <w:tcW w:w="551" w:type="pct"/>
          </w:tcPr>
          <w:p w14:paraId="5706A6CB">
            <w:pPr>
              <w:rPr>
                <w:rFonts w:hint="eastAsia" w:asciiTheme="minorEastAsia" w:hAnsiTheme="minorEastAsia" w:eastAsiaTheme="minorEastAsia"/>
                <w:sz w:val="24"/>
                <w:highlight w:val="none"/>
              </w:rPr>
            </w:pPr>
          </w:p>
        </w:tc>
        <w:tc>
          <w:tcPr>
            <w:tcW w:w="393" w:type="pct"/>
          </w:tcPr>
          <w:p w14:paraId="6AB3DE9B">
            <w:pPr>
              <w:rPr>
                <w:rFonts w:hint="eastAsia" w:asciiTheme="minorEastAsia" w:hAnsiTheme="minorEastAsia" w:eastAsiaTheme="minorEastAsia"/>
                <w:sz w:val="24"/>
                <w:highlight w:val="none"/>
              </w:rPr>
            </w:pPr>
          </w:p>
        </w:tc>
      </w:tr>
      <w:tr w14:paraId="2F78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0974359">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p>
        </w:tc>
        <w:tc>
          <w:tcPr>
            <w:tcW w:w="777" w:type="pct"/>
          </w:tcPr>
          <w:p w14:paraId="281667EC">
            <w:pPr>
              <w:rPr>
                <w:rFonts w:hint="eastAsia" w:asciiTheme="minorEastAsia" w:hAnsiTheme="minorEastAsia" w:eastAsiaTheme="minorEastAsia"/>
                <w:sz w:val="24"/>
                <w:highlight w:val="none"/>
              </w:rPr>
            </w:pPr>
          </w:p>
        </w:tc>
        <w:tc>
          <w:tcPr>
            <w:tcW w:w="773" w:type="pct"/>
          </w:tcPr>
          <w:p w14:paraId="16654594">
            <w:pPr>
              <w:rPr>
                <w:rFonts w:hint="eastAsia" w:asciiTheme="minorEastAsia" w:hAnsiTheme="minorEastAsia" w:eastAsiaTheme="minorEastAsia"/>
                <w:sz w:val="24"/>
                <w:highlight w:val="none"/>
              </w:rPr>
            </w:pPr>
          </w:p>
        </w:tc>
        <w:tc>
          <w:tcPr>
            <w:tcW w:w="773" w:type="pct"/>
          </w:tcPr>
          <w:p w14:paraId="1998A23F">
            <w:pPr>
              <w:rPr>
                <w:rFonts w:hint="eastAsia" w:asciiTheme="minorEastAsia" w:hAnsiTheme="minorEastAsia" w:eastAsiaTheme="minorEastAsia"/>
                <w:sz w:val="24"/>
                <w:highlight w:val="none"/>
              </w:rPr>
            </w:pPr>
          </w:p>
        </w:tc>
        <w:tc>
          <w:tcPr>
            <w:tcW w:w="394" w:type="pct"/>
          </w:tcPr>
          <w:p w14:paraId="13AA78BA">
            <w:pPr>
              <w:rPr>
                <w:rFonts w:hint="eastAsia" w:asciiTheme="minorEastAsia" w:hAnsiTheme="minorEastAsia" w:eastAsiaTheme="minorEastAsia"/>
                <w:sz w:val="24"/>
                <w:highlight w:val="none"/>
              </w:rPr>
            </w:pPr>
          </w:p>
        </w:tc>
        <w:tc>
          <w:tcPr>
            <w:tcW w:w="394" w:type="pct"/>
          </w:tcPr>
          <w:p w14:paraId="1BF50366">
            <w:pPr>
              <w:rPr>
                <w:rFonts w:hint="eastAsia" w:asciiTheme="minorEastAsia" w:hAnsiTheme="minorEastAsia" w:eastAsiaTheme="minorEastAsia"/>
                <w:sz w:val="24"/>
                <w:highlight w:val="none"/>
              </w:rPr>
            </w:pPr>
          </w:p>
        </w:tc>
        <w:tc>
          <w:tcPr>
            <w:tcW w:w="551" w:type="pct"/>
          </w:tcPr>
          <w:p w14:paraId="55845B9A">
            <w:pPr>
              <w:rPr>
                <w:rFonts w:hint="eastAsia" w:asciiTheme="minorEastAsia" w:hAnsiTheme="minorEastAsia" w:eastAsiaTheme="minorEastAsia"/>
                <w:sz w:val="24"/>
                <w:highlight w:val="none"/>
              </w:rPr>
            </w:pPr>
          </w:p>
        </w:tc>
        <w:tc>
          <w:tcPr>
            <w:tcW w:w="551" w:type="pct"/>
          </w:tcPr>
          <w:p w14:paraId="175CD137">
            <w:pPr>
              <w:rPr>
                <w:rFonts w:hint="eastAsia" w:asciiTheme="minorEastAsia" w:hAnsiTheme="minorEastAsia" w:eastAsiaTheme="minorEastAsia"/>
                <w:sz w:val="24"/>
                <w:highlight w:val="none"/>
              </w:rPr>
            </w:pPr>
          </w:p>
        </w:tc>
        <w:tc>
          <w:tcPr>
            <w:tcW w:w="393" w:type="pct"/>
          </w:tcPr>
          <w:p w14:paraId="56F86E5E">
            <w:pPr>
              <w:rPr>
                <w:rFonts w:hint="eastAsia" w:asciiTheme="minorEastAsia" w:hAnsiTheme="minorEastAsia" w:eastAsiaTheme="minorEastAsia"/>
                <w:sz w:val="24"/>
                <w:highlight w:val="none"/>
              </w:rPr>
            </w:pPr>
          </w:p>
        </w:tc>
      </w:tr>
      <w:tr w14:paraId="40A1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6E15549">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10</w:t>
            </w:r>
          </w:p>
        </w:tc>
        <w:tc>
          <w:tcPr>
            <w:tcW w:w="777" w:type="pct"/>
          </w:tcPr>
          <w:p w14:paraId="15CD3EB0">
            <w:pPr>
              <w:rPr>
                <w:rFonts w:hint="eastAsia" w:asciiTheme="minorEastAsia" w:hAnsiTheme="minorEastAsia" w:eastAsiaTheme="minorEastAsia"/>
                <w:sz w:val="24"/>
                <w:highlight w:val="none"/>
              </w:rPr>
            </w:pPr>
          </w:p>
        </w:tc>
        <w:tc>
          <w:tcPr>
            <w:tcW w:w="773" w:type="pct"/>
          </w:tcPr>
          <w:p w14:paraId="5E44F68F">
            <w:pPr>
              <w:rPr>
                <w:rFonts w:hint="eastAsia" w:asciiTheme="minorEastAsia" w:hAnsiTheme="minorEastAsia" w:eastAsiaTheme="minorEastAsia"/>
                <w:sz w:val="24"/>
                <w:highlight w:val="none"/>
              </w:rPr>
            </w:pPr>
          </w:p>
        </w:tc>
        <w:tc>
          <w:tcPr>
            <w:tcW w:w="773" w:type="pct"/>
          </w:tcPr>
          <w:p w14:paraId="63D3FA4A">
            <w:pPr>
              <w:rPr>
                <w:rFonts w:hint="eastAsia" w:asciiTheme="minorEastAsia" w:hAnsiTheme="minorEastAsia" w:eastAsiaTheme="minorEastAsia"/>
                <w:sz w:val="24"/>
                <w:highlight w:val="none"/>
              </w:rPr>
            </w:pPr>
          </w:p>
        </w:tc>
        <w:tc>
          <w:tcPr>
            <w:tcW w:w="394" w:type="pct"/>
          </w:tcPr>
          <w:p w14:paraId="3C1893DF">
            <w:pPr>
              <w:rPr>
                <w:rFonts w:hint="eastAsia" w:asciiTheme="minorEastAsia" w:hAnsiTheme="minorEastAsia" w:eastAsiaTheme="minorEastAsia"/>
                <w:sz w:val="24"/>
                <w:highlight w:val="none"/>
              </w:rPr>
            </w:pPr>
          </w:p>
        </w:tc>
        <w:tc>
          <w:tcPr>
            <w:tcW w:w="394" w:type="pct"/>
          </w:tcPr>
          <w:p w14:paraId="0C23DAF0">
            <w:pPr>
              <w:rPr>
                <w:rFonts w:hint="eastAsia" w:asciiTheme="minorEastAsia" w:hAnsiTheme="minorEastAsia" w:eastAsiaTheme="minorEastAsia"/>
                <w:sz w:val="24"/>
                <w:highlight w:val="none"/>
              </w:rPr>
            </w:pPr>
          </w:p>
        </w:tc>
        <w:tc>
          <w:tcPr>
            <w:tcW w:w="551" w:type="pct"/>
          </w:tcPr>
          <w:p w14:paraId="1C7A8562">
            <w:pPr>
              <w:rPr>
                <w:rFonts w:hint="eastAsia" w:asciiTheme="minorEastAsia" w:hAnsiTheme="minorEastAsia" w:eastAsiaTheme="minorEastAsia"/>
                <w:sz w:val="24"/>
                <w:highlight w:val="none"/>
              </w:rPr>
            </w:pPr>
          </w:p>
        </w:tc>
        <w:tc>
          <w:tcPr>
            <w:tcW w:w="551" w:type="pct"/>
          </w:tcPr>
          <w:p w14:paraId="62011EDC">
            <w:pPr>
              <w:rPr>
                <w:rFonts w:hint="eastAsia" w:asciiTheme="minorEastAsia" w:hAnsiTheme="minorEastAsia" w:eastAsiaTheme="minorEastAsia"/>
                <w:sz w:val="24"/>
                <w:highlight w:val="none"/>
              </w:rPr>
            </w:pPr>
          </w:p>
        </w:tc>
        <w:tc>
          <w:tcPr>
            <w:tcW w:w="393" w:type="pct"/>
          </w:tcPr>
          <w:p w14:paraId="356188D4">
            <w:pPr>
              <w:rPr>
                <w:rFonts w:hint="eastAsia" w:asciiTheme="minorEastAsia" w:hAnsiTheme="minorEastAsia" w:eastAsiaTheme="minorEastAsia"/>
                <w:sz w:val="24"/>
                <w:highlight w:val="none"/>
              </w:rPr>
            </w:pPr>
          </w:p>
        </w:tc>
      </w:tr>
      <w:tr w14:paraId="1A53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8165FD0">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w:t>
            </w:r>
          </w:p>
        </w:tc>
        <w:tc>
          <w:tcPr>
            <w:tcW w:w="777" w:type="pct"/>
          </w:tcPr>
          <w:p w14:paraId="196CE1CB">
            <w:pPr>
              <w:rPr>
                <w:rFonts w:hint="eastAsia" w:asciiTheme="minorEastAsia" w:hAnsiTheme="minorEastAsia" w:eastAsiaTheme="minorEastAsia"/>
                <w:sz w:val="24"/>
                <w:highlight w:val="none"/>
              </w:rPr>
            </w:pPr>
          </w:p>
        </w:tc>
        <w:tc>
          <w:tcPr>
            <w:tcW w:w="773" w:type="pct"/>
          </w:tcPr>
          <w:p w14:paraId="4A8A8E61">
            <w:pPr>
              <w:rPr>
                <w:rFonts w:hint="eastAsia" w:asciiTheme="minorEastAsia" w:hAnsiTheme="minorEastAsia" w:eastAsiaTheme="minorEastAsia"/>
                <w:sz w:val="24"/>
                <w:highlight w:val="none"/>
              </w:rPr>
            </w:pPr>
          </w:p>
        </w:tc>
        <w:tc>
          <w:tcPr>
            <w:tcW w:w="773" w:type="pct"/>
          </w:tcPr>
          <w:p w14:paraId="0F297C02">
            <w:pPr>
              <w:rPr>
                <w:rFonts w:hint="eastAsia" w:asciiTheme="minorEastAsia" w:hAnsiTheme="minorEastAsia" w:eastAsiaTheme="minorEastAsia"/>
                <w:sz w:val="24"/>
                <w:highlight w:val="none"/>
              </w:rPr>
            </w:pPr>
          </w:p>
        </w:tc>
        <w:tc>
          <w:tcPr>
            <w:tcW w:w="394" w:type="pct"/>
          </w:tcPr>
          <w:p w14:paraId="6EBA887A">
            <w:pPr>
              <w:rPr>
                <w:rFonts w:hint="eastAsia" w:asciiTheme="minorEastAsia" w:hAnsiTheme="minorEastAsia" w:eastAsiaTheme="minorEastAsia"/>
                <w:sz w:val="24"/>
                <w:highlight w:val="none"/>
              </w:rPr>
            </w:pPr>
          </w:p>
        </w:tc>
        <w:tc>
          <w:tcPr>
            <w:tcW w:w="394" w:type="pct"/>
          </w:tcPr>
          <w:p w14:paraId="3ED00D1C">
            <w:pPr>
              <w:rPr>
                <w:rFonts w:hint="eastAsia" w:asciiTheme="minorEastAsia" w:hAnsiTheme="minorEastAsia" w:eastAsiaTheme="minorEastAsia"/>
                <w:sz w:val="24"/>
                <w:highlight w:val="none"/>
              </w:rPr>
            </w:pPr>
          </w:p>
        </w:tc>
        <w:tc>
          <w:tcPr>
            <w:tcW w:w="551" w:type="pct"/>
          </w:tcPr>
          <w:p w14:paraId="75E06647">
            <w:pPr>
              <w:rPr>
                <w:rFonts w:hint="eastAsia" w:asciiTheme="minorEastAsia" w:hAnsiTheme="minorEastAsia" w:eastAsiaTheme="minorEastAsia"/>
                <w:sz w:val="24"/>
                <w:highlight w:val="none"/>
              </w:rPr>
            </w:pPr>
          </w:p>
        </w:tc>
        <w:tc>
          <w:tcPr>
            <w:tcW w:w="551" w:type="pct"/>
          </w:tcPr>
          <w:p w14:paraId="6AD75986">
            <w:pPr>
              <w:rPr>
                <w:rFonts w:hint="eastAsia" w:asciiTheme="minorEastAsia" w:hAnsiTheme="minorEastAsia" w:eastAsiaTheme="minorEastAsia"/>
                <w:sz w:val="24"/>
                <w:highlight w:val="none"/>
              </w:rPr>
            </w:pPr>
          </w:p>
        </w:tc>
        <w:tc>
          <w:tcPr>
            <w:tcW w:w="393" w:type="pct"/>
          </w:tcPr>
          <w:p w14:paraId="53CAFFC5">
            <w:pPr>
              <w:rPr>
                <w:rFonts w:hint="eastAsia" w:asciiTheme="minorEastAsia" w:hAnsiTheme="minorEastAsia" w:eastAsiaTheme="minorEastAsia"/>
                <w:sz w:val="24"/>
                <w:highlight w:val="none"/>
              </w:rPr>
            </w:pPr>
          </w:p>
        </w:tc>
      </w:tr>
      <w:tr w14:paraId="738F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08E8F8D">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12</w:t>
            </w:r>
          </w:p>
        </w:tc>
        <w:tc>
          <w:tcPr>
            <w:tcW w:w="777" w:type="pct"/>
          </w:tcPr>
          <w:p w14:paraId="53571C4F">
            <w:pPr>
              <w:rPr>
                <w:rFonts w:hint="eastAsia" w:asciiTheme="minorEastAsia" w:hAnsiTheme="minorEastAsia" w:eastAsiaTheme="minorEastAsia"/>
                <w:sz w:val="24"/>
                <w:highlight w:val="none"/>
              </w:rPr>
            </w:pPr>
          </w:p>
        </w:tc>
        <w:tc>
          <w:tcPr>
            <w:tcW w:w="773" w:type="pct"/>
          </w:tcPr>
          <w:p w14:paraId="5AAAECDB">
            <w:pPr>
              <w:rPr>
                <w:rFonts w:hint="eastAsia" w:asciiTheme="minorEastAsia" w:hAnsiTheme="minorEastAsia" w:eastAsiaTheme="minorEastAsia"/>
                <w:sz w:val="24"/>
                <w:highlight w:val="none"/>
              </w:rPr>
            </w:pPr>
          </w:p>
        </w:tc>
        <w:tc>
          <w:tcPr>
            <w:tcW w:w="773" w:type="pct"/>
          </w:tcPr>
          <w:p w14:paraId="1B4FE435">
            <w:pPr>
              <w:rPr>
                <w:rFonts w:hint="eastAsia" w:asciiTheme="minorEastAsia" w:hAnsiTheme="minorEastAsia" w:eastAsiaTheme="minorEastAsia"/>
                <w:sz w:val="24"/>
                <w:highlight w:val="none"/>
              </w:rPr>
            </w:pPr>
          </w:p>
        </w:tc>
        <w:tc>
          <w:tcPr>
            <w:tcW w:w="394" w:type="pct"/>
          </w:tcPr>
          <w:p w14:paraId="31F9F2D4">
            <w:pPr>
              <w:rPr>
                <w:rFonts w:hint="eastAsia" w:asciiTheme="minorEastAsia" w:hAnsiTheme="minorEastAsia" w:eastAsiaTheme="minorEastAsia"/>
                <w:sz w:val="24"/>
                <w:highlight w:val="none"/>
              </w:rPr>
            </w:pPr>
          </w:p>
        </w:tc>
        <w:tc>
          <w:tcPr>
            <w:tcW w:w="394" w:type="pct"/>
          </w:tcPr>
          <w:p w14:paraId="1167A264">
            <w:pPr>
              <w:rPr>
                <w:rFonts w:hint="eastAsia" w:asciiTheme="minorEastAsia" w:hAnsiTheme="minorEastAsia" w:eastAsiaTheme="minorEastAsia"/>
                <w:sz w:val="24"/>
                <w:highlight w:val="none"/>
              </w:rPr>
            </w:pPr>
          </w:p>
        </w:tc>
        <w:tc>
          <w:tcPr>
            <w:tcW w:w="551" w:type="pct"/>
          </w:tcPr>
          <w:p w14:paraId="24569601">
            <w:pPr>
              <w:rPr>
                <w:rFonts w:hint="eastAsia" w:asciiTheme="minorEastAsia" w:hAnsiTheme="minorEastAsia" w:eastAsiaTheme="minorEastAsia"/>
                <w:sz w:val="24"/>
                <w:highlight w:val="none"/>
              </w:rPr>
            </w:pPr>
          </w:p>
        </w:tc>
        <w:tc>
          <w:tcPr>
            <w:tcW w:w="551" w:type="pct"/>
          </w:tcPr>
          <w:p w14:paraId="75ABD5BF">
            <w:pPr>
              <w:rPr>
                <w:rFonts w:hint="eastAsia" w:asciiTheme="minorEastAsia" w:hAnsiTheme="minorEastAsia" w:eastAsiaTheme="minorEastAsia"/>
                <w:sz w:val="24"/>
                <w:highlight w:val="none"/>
              </w:rPr>
            </w:pPr>
          </w:p>
        </w:tc>
        <w:tc>
          <w:tcPr>
            <w:tcW w:w="393" w:type="pct"/>
          </w:tcPr>
          <w:p w14:paraId="6AA3CE03">
            <w:pPr>
              <w:rPr>
                <w:rFonts w:hint="eastAsia" w:asciiTheme="minorEastAsia" w:hAnsiTheme="minorEastAsia" w:eastAsiaTheme="minorEastAsia"/>
                <w:sz w:val="24"/>
                <w:highlight w:val="none"/>
              </w:rPr>
            </w:pPr>
          </w:p>
        </w:tc>
      </w:tr>
      <w:tr w14:paraId="6B8D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3103F12">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w:t>
            </w:r>
          </w:p>
        </w:tc>
        <w:tc>
          <w:tcPr>
            <w:tcW w:w="777" w:type="pct"/>
          </w:tcPr>
          <w:p w14:paraId="583C3E2D">
            <w:pPr>
              <w:rPr>
                <w:rFonts w:hint="eastAsia" w:asciiTheme="minorEastAsia" w:hAnsiTheme="minorEastAsia" w:eastAsiaTheme="minorEastAsia"/>
                <w:sz w:val="24"/>
                <w:highlight w:val="none"/>
              </w:rPr>
            </w:pPr>
          </w:p>
        </w:tc>
        <w:tc>
          <w:tcPr>
            <w:tcW w:w="773" w:type="pct"/>
          </w:tcPr>
          <w:p w14:paraId="504C3485">
            <w:pPr>
              <w:rPr>
                <w:rFonts w:hint="eastAsia" w:asciiTheme="minorEastAsia" w:hAnsiTheme="minorEastAsia" w:eastAsiaTheme="minorEastAsia"/>
                <w:sz w:val="24"/>
                <w:highlight w:val="none"/>
              </w:rPr>
            </w:pPr>
          </w:p>
        </w:tc>
        <w:tc>
          <w:tcPr>
            <w:tcW w:w="773" w:type="pct"/>
          </w:tcPr>
          <w:p w14:paraId="13511B78">
            <w:pPr>
              <w:rPr>
                <w:rFonts w:hint="eastAsia" w:asciiTheme="minorEastAsia" w:hAnsiTheme="minorEastAsia" w:eastAsiaTheme="minorEastAsia"/>
                <w:sz w:val="24"/>
                <w:highlight w:val="none"/>
              </w:rPr>
            </w:pPr>
          </w:p>
        </w:tc>
        <w:tc>
          <w:tcPr>
            <w:tcW w:w="394" w:type="pct"/>
          </w:tcPr>
          <w:p w14:paraId="6BBE42B1">
            <w:pPr>
              <w:rPr>
                <w:rFonts w:hint="eastAsia" w:asciiTheme="minorEastAsia" w:hAnsiTheme="minorEastAsia" w:eastAsiaTheme="minorEastAsia"/>
                <w:sz w:val="24"/>
                <w:highlight w:val="none"/>
              </w:rPr>
            </w:pPr>
          </w:p>
        </w:tc>
        <w:tc>
          <w:tcPr>
            <w:tcW w:w="394" w:type="pct"/>
          </w:tcPr>
          <w:p w14:paraId="0AADC13E">
            <w:pPr>
              <w:rPr>
                <w:rFonts w:hint="eastAsia" w:asciiTheme="minorEastAsia" w:hAnsiTheme="minorEastAsia" w:eastAsiaTheme="minorEastAsia"/>
                <w:sz w:val="24"/>
                <w:highlight w:val="none"/>
              </w:rPr>
            </w:pPr>
          </w:p>
        </w:tc>
        <w:tc>
          <w:tcPr>
            <w:tcW w:w="551" w:type="pct"/>
          </w:tcPr>
          <w:p w14:paraId="67305D3E">
            <w:pPr>
              <w:rPr>
                <w:rFonts w:hint="eastAsia" w:asciiTheme="minorEastAsia" w:hAnsiTheme="minorEastAsia" w:eastAsiaTheme="minorEastAsia"/>
                <w:sz w:val="24"/>
                <w:highlight w:val="none"/>
              </w:rPr>
            </w:pPr>
          </w:p>
        </w:tc>
        <w:tc>
          <w:tcPr>
            <w:tcW w:w="551" w:type="pct"/>
          </w:tcPr>
          <w:p w14:paraId="4B31DF7D">
            <w:pPr>
              <w:rPr>
                <w:rFonts w:hint="eastAsia" w:asciiTheme="minorEastAsia" w:hAnsiTheme="minorEastAsia" w:eastAsiaTheme="minorEastAsia"/>
                <w:sz w:val="24"/>
                <w:highlight w:val="none"/>
              </w:rPr>
            </w:pPr>
          </w:p>
        </w:tc>
        <w:tc>
          <w:tcPr>
            <w:tcW w:w="393" w:type="pct"/>
          </w:tcPr>
          <w:p w14:paraId="16E7D7D5">
            <w:pPr>
              <w:rPr>
                <w:rFonts w:hint="eastAsia" w:asciiTheme="minorEastAsia" w:hAnsiTheme="minorEastAsia" w:eastAsiaTheme="minorEastAsia"/>
                <w:sz w:val="24"/>
                <w:highlight w:val="none"/>
              </w:rPr>
            </w:pPr>
          </w:p>
        </w:tc>
      </w:tr>
      <w:tr w14:paraId="496D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8724A87">
            <w:pPr>
              <w:jc w:val="center"/>
              <w:rPr>
                <w:rFonts w:hint="eastAsia" w:asciiTheme="minorEastAsia" w:hAnsiTheme="minorEastAsia" w:eastAsiaTheme="minorEastAsia"/>
                <w:sz w:val="24"/>
                <w:highlight w:val="none"/>
              </w:rPr>
            </w:pPr>
          </w:p>
        </w:tc>
        <w:tc>
          <w:tcPr>
            <w:tcW w:w="777" w:type="pct"/>
            <w:vAlign w:val="center"/>
          </w:tcPr>
          <w:p w14:paraId="4F9F260F">
            <w:pPr>
              <w:pStyle w:val="51"/>
              <w:rPr>
                <w:rFonts w:hint="eastAsia" w:asciiTheme="minorEastAsia" w:hAnsiTheme="minorEastAsia" w:eastAsiaTheme="minorEastAsia"/>
                <w:highlight w:val="none"/>
              </w:rPr>
            </w:pPr>
            <w:r>
              <w:rPr>
                <w:rFonts w:hint="eastAsia" w:asciiTheme="minorEastAsia" w:hAnsiTheme="minorEastAsia" w:eastAsiaTheme="minorEastAsia"/>
                <w:highlight w:val="none"/>
              </w:rPr>
              <w:t>其他费用</w:t>
            </w:r>
          </w:p>
        </w:tc>
        <w:tc>
          <w:tcPr>
            <w:tcW w:w="773" w:type="pct"/>
          </w:tcPr>
          <w:p w14:paraId="755562DB">
            <w:pPr>
              <w:rPr>
                <w:rFonts w:hint="eastAsia" w:asciiTheme="minorEastAsia" w:hAnsiTheme="minorEastAsia" w:eastAsiaTheme="minorEastAsia"/>
                <w:sz w:val="24"/>
                <w:highlight w:val="none"/>
              </w:rPr>
            </w:pPr>
          </w:p>
        </w:tc>
        <w:tc>
          <w:tcPr>
            <w:tcW w:w="773" w:type="pct"/>
          </w:tcPr>
          <w:p w14:paraId="42C1D7AB">
            <w:pPr>
              <w:rPr>
                <w:rFonts w:hint="eastAsia" w:asciiTheme="minorEastAsia" w:hAnsiTheme="minorEastAsia" w:eastAsiaTheme="minorEastAsia"/>
                <w:sz w:val="24"/>
                <w:highlight w:val="none"/>
              </w:rPr>
            </w:pPr>
          </w:p>
        </w:tc>
        <w:tc>
          <w:tcPr>
            <w:tcW w:w="394" w:type="pct"/>
          </w:tcPr>
          <w:p w14:paraId="3C11D862">
            <w:pPr>
              <w:rPr>
                <w:rFonts w:hint="eastAsia" w:asciiTheme="minorEastAsia" w:hAnsiTheme="minorEastAsia" w:eastAsiaTheme="minorEastAsia"/>
                <w:sz w:val="24"/>
                <w:highlight w:val="none"/>
              </w:rPr>
            </w:pPr>
          </w:p>
        </w:tc>
        <w:tc>
          <w:tcPr>
            <w:tcW w:w="394" w:type="pct"/>
          </w:tcPr>
          <w:p w14:paraId="13928B30">
            <w:pPr>
              <w:rPr>
                <w:rFonts w:hint="eastAsia" w:asciiTheme="minorEastAsia" w:hAnsiTheme="minorEastAsia" w:eastAsiaTheme="minorEastAsia"/>
                <w:sz w:val="24"/>
                <w:highlight w:val="none"/>
              </w:rPr>
            </w:pPr>
          </w:p>
        </w:tc>
        <w:tc>
          <w:tcPr>
            <w:tcW w:w="551" w:type="pct"/>
          </w:tcPr>
          <w:p w14:paraId="6069A0B9">
            <w:pPr>
              <w:rPr>
                <w:rFonts w:hint="eastAsia" w:asciiTheme="minorEastAsia" w:hAnsiTheme="minorEastAsia" w:eastAsiaTheme="minorEastAsia"/>
                <w:sz w:val="24"/>
                <w:highlight w:val="none"/>
              </w:rPr>
            </w:pPr>
          </w:p>
        </w:tc>
        <w:tc>
          <w:tcPr>
            <w:tcW w:w="551" w:type="pct"/>
          </w:tcPr>
          <w:p w14:paraId="42116BED">
            <w:pPr>
              <w:rPr>
                <w:rFonts w:hint="eastAsia" w:asciiTheme="minorEastAsia" w:hAnsiTheme="minorEastAsia" w:eastAsiaTheme="minorEastAsia"/>
                <w:sz w:val="24"/>
                <w:highlight w:val="none"/>
              </w:rPr>
            </w:pPr>
          </w:p>
        </w:tc>
        <w:tc>
          <w:tcPr>
            <w:tcW w:w="393" w:type="pct"/>
          </w:tcPr>
          <w:p w14:paraId="11DEDB6D">
            <w:pPr>
              <w:rPr>
                <w:rFonts w:hint="eastAsia" w:asciiTheme="minorEastAsia" w:hAnsiTheme="minorEastAsia" w:eastAsiaTheme="minorEastAsia"/>
                <w:sz w:val="24"/>
                <w:highlight w:val="none"/>
              </w:rPr>
            </w:pPr>
          </w:p>
        </w:tc>
      </w:tr>
      <w:tr w14:paraId="5362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CF1AC34">
            <w:pPr>
              <w:jc w:val="center"/>
              <w:rPr>
                <w:rFonts w:hint="eastAsia" w:asciiTheme="minorEastAsia" w:hAnsiTheme="minorEastAsia" w:eastAsiaTheme="minorEastAsia"/>
                <w:sz w:val="24"/>
                <w:highlight w:val="none"/>
              </w:rPr>
            </w:pPr>
          </w:p>
        </w:tc>
        <w:tc>
          <w:tcPr>
            <w:tcW w:w="777" w:type="pct"/>
          </w:tcPr>
          <w:p w14:paraId="04768FD8">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773" w:type="pct"/>
          </w:tcPr>
          <w:p w14:paraId="07809D5E">
            <w:pPr>
              <w:rPr>
                <w:rFonts w:hint="eastAsia" w:asciiTheme="minorEastAsia" w:hAnsiTheme="minorEastAsia" w:eastAsiaTheme="minorEastAsia"/>
                <w:sz w:val="24"/>
                <w:highlight w:val="none"/>
              </w:rPr>
            </w:pPr>
          </w:p>
        </w:tc>
        <w:tc>
          <w:tcPr>
            <w:tcW w:w="773" w:type="pct"/>
          </w:tcPr>
          <w:p w14:paraId="7E747954">
            <w:pPr>
              <w:rPr>
                <w:rFonts w:hint="eastAsia" w:asciiTheme="minorEastAsia" w:hAnsiTheme="minorEastAsia" w:eastAsiaTheme="minorEastAsia"/>
                <w:sz w:val="24"/>
                <w:highlight w:val="none"/>
              </w:rPr>
            </w:pPr>
          </w:p>
        </w:tc>
        <w:tc>
          <w:tcPr>
            <w:tcW w:w="394" w:type="pct"/>
          </w:tcPr>
          <w:p w14:paraId="52652F51">
            <w:pPr>
              <w:rPr>
                <w:rFonts w:hint="eastAsia" w:asciiTheme="minorEastAsia" w:hAnsiTheme="minorEastAsia" w:eastAsiaTheme="minorEastAsia"/>
                <w:sz w:val="24"/>
                <w:highlight w:val="none"/>
              </w:rPr>
            </w:pPr>
          </w:p>
        </w:tc>
        <w:tc>
          <w:tcPr>
            <w:tcW w:w="394" w:type="pct"/>
          </w:tcPr>
          <w:p w14:paraId="59C72D36">
            <w:pPr>
              <w:rPr>
                <w:rFonts w:hint="eastAsia" w:asciiTheme="minorEastAsia" w:hAnsiTheme="minorEastAsia" w:eastAsiaTheme="minorEastAsia"/>
                <w:sz w:val="24"/>
                <w:highlight w:val="none"/>
              </w:rPr>
            </w:pPr>
          </w:p>
        </w:tc>
        <w:tc>
          <w:tcPr>
            <w:tcW w:w="551" w:type="pct"/>
          </w:tcPr>
          <w:p w14:paraId="33963A5E">
            <w:pPr>
              <w:rPr>
                <w:rFonts w:hint="eastAsia" w:asciiTheme="minorEastAsia" w:hAnsiTheme="minorEastAsia" w:eastAsiaTheme="minorEastAsia"/>
                <w:sz w:val="24"/>
                <w:highlight w:val="none"/>
              </w:rPr>
            </w:pPr>
          </w:p>
        </w:tc>
        <w:tc>
          <w:tcPr>
            <w:tcW w:w="551" w:type="pct"/>
          </w:tcPr>
          <w:p w14:paraId="6AFD0DAE">
            <w:pPr>
              <w:rPr>
                <w:rFonts w:hint="eastAsia" w:asciiTheme="minorEastAsia" w:hAnsiTheme="minorEastAsia" w:eastAsiaTheme="minorEastAsia"/>
                <w:sz w:val="24"/>
                <w:highlight w:val="none"/>
              </w:rPr>
            </w:pPr>
          </w:p>
        </w:tc>
        <w:tc>
          <w:tcPr>
            <w:tcW w:w="393" w:type="pct"/>
          </w:tcPr>
          <w:p w14:paraId="7A38CFC0">
            <w:pPr>
              <w:rPr>
                <w:rFonts w:hint="eastAsia" w:asciiTheme="minorEastAsia" w:hAnsiTheme="minorEastAsia" w:eastAsiaTheme="minorEastAsia"/>
                <w:sz w:val="24"/>
                <w:highlight w:val="none"/>
              </w:rPr>
            </w:pPr>
          </w:p>
        </w:tc>
      </w:tr>
      <w:tr w14:paraId="28AA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3F7D891">
            <w:pPr>
              <w:jc w:val="center"/>
              <w:rPr>
                <w:rFonts w:hint="eastAsia" w:asciiTheme="minorEastAsia" w:hAnsiTheme="minorEastAsia" w:eastAsiaTheme="minorEastAsia"/>
                <w:sz w:val="24"/>
                <w:highlight w:val="none"/>
              </w:rPr>
            </w:pPr>
          </w:p>
        </w:tc>
        <w:tc>
          <w:tcPr>
            <w:tcW w:w="777" w:type="pct"/>
          </w:tcPr>
          <w:p w14:paraId="428AB6F2">
            <w:pPr>
              <w:pStyle w:val="51"/>
              <w:rPr>
                <w:rFonts w:hint="eastAsia" w:asciiTheme="minorEastAsia" w:hAnsiTheme="minorEastAsia" w:eastAsiaTheme="minorEastAsia"/>
                <w:highlight w:val="none"/>
              </w:rPr>
            </w:pPr>
            <w:r>
              <w:rPr>
                <w:rFonts w:hint="eastAsia" w:asciiTheme="minorEastAsia" w:hAnsiTheme="minorEastAsia" w:eastAsiaTheme="minorEastAsia"/>
                <w:highlight w:val="none"/>
              </w:rPr>
              <w:t>…</w:t>
            </w:r>
          </w:p>
        </w:tc>
        <w:tc>
          <w:tcPr>
            <w:tcW w:w="773" w:type="pct"/>
          </w:tcPr>
          <w:p w14:paraId="10EE0D55">
            <w:pPr>
              <w:rPr>
                <w:rFonts w:hint="eastAsia" w:asciiTheme="minorEastAsia" w:hAnsiTheme="minorEastAsia" w:eastAsiaTheme="minorEastAsia"/>
                <w:sz w:val="24"/>
                <w:highlight w:val="none"/>
              </w:rPr>
            </w:pPr>
          </w:p>
        </w:tc>
        <w:tc>
          <w:tcPr>
            <w:tcW w:w="773" w:type="pct"/>
          </w:tcPr>
          <w:p w14:paraId="3D044FC2">
            <w:pPr>
              <w:rPr>
                <w:rFonts w:hint="eastAsia" w:asciiTheme="minorEastAsia" w:hAnsiTheme="minorEastAsia" w:eastAsiaTheme="minorEastAsia"/>
                <w:sz w:val="24"/>
                <w:highlight w:val="none"/>
              </w:rPr>
            </w:pPr>
          </w:p>
        </w:tc>
        <w:tc>
          <w:tcPr>
            <w:tcW w:w="394" w:type="pct"/>
          </w:tcPr>
          <w:p w14:paraId="0AC0551F">
            <w:pPr>
              <w:rPr>
                <w:rFonts w:hint="eastAsia" w:asciiTheme="minorEastAsia" w:hAnsiTheme="minorEastAsia" w:eastAsiaTheme="minorEastAsia"/>
                <w:sz w:val="24"/>
                <w:highlight w:val="none"/>
              </w:rPr>
            </w:pPr>
          </w:p>
        </w:tc>
        <w:tc>
          <w:tcPr>
            <w:tcW w:w="394" w:type="pct"/>
          </w:tcPr>
          <w:p w14:paraId="45A94CFD">
            <w:pPr>
              <w:rPr>
                <w:rFonts w:hint="eastAsia" w:asciiTheme="minorEastAsia" w:hAnsiTheme="minorEastAsia" w:eastAsiaTheme="minorEastAsia"/>
                <w:sz w:val="24"/>
                <w:highlight w:val="none"/>
              </w:rPr>
            </w:pPr>
          </w:p>
        </w:tc>
        <w:tc>
          <w:tcPr>
            <w:tcW w:w="551" w:type="pct"/>
          </w:tcPr>
          <w:p w14:paraId="42F71A8F">
            <w:pPr>
              <w:rPr>
                <w:rFonts w:hint="eastAsia" w:asciiTheme="minorEastAsia" w:hAnsiTheme="minorEastAsia" w:eastAsiaTheme="minorEastAsia"/>
                <w:sz w:val="24"/>
                <w:highlight w:val="none"/>
              </w:rPr>
            </w:pPr>
          </w:p>
        </w:tc>
        <w:tc>
          <w:tcPr>
            <w:tcW w:w="551" w:type="pct"/>
          </w:tcPr>
          <w:p w14:paraId="3273B8A7">
            <w:pPr>
              <w:rPr>
                <w:rFonts w:hint="eastAsia" w:asciiTheme="minorEastAsia" w:hAnsiTheme="minorEastAsia" w:eastAsiaTheme="minorEastAsia"/>
                <w:sz w:val="24"/>
                <w:highlight w:val="none"/>
              </w:rPr>
            </w:pPr>
          </w:p>
        </w:tc>
        <w:tc>
          <w:tcPr>
            <w:tcW w:w="393" w:type="pct"/>
          </w:tcPr>
          <w:p w14:paraId="75425640">
            <w:pPr>
              <w:rPr>
                <w:rFonts w:hint="eastAsia" w:asciiTheme="minorEastAsia" w:hAnsiTheme="minorEastAsia" w:eastAsiaTheme="minorEastAsia"/>
                <w:sz w:val="24"/>
                <w:highlight w:val="none"/>
              </w:rPr>
            </w:pPr>
          </w:p>
        </w:tc>
      </w:tr>
      <w:tr w14:paraId="4D92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444BBB4">
            <w:pPr>
              <w:jc w:val="center"/>
              <w:rPr>
                <w:rFonts w:hint="eastAsia" w:asciiTheme="minorEastAsia" w:hAnsiTheme="minorEastAsia" w:eastAsiaTheme="minorEastAsia"/>
                <w:sz w:val="24"/>
                <w:highlight w:val="none"/>
              </w:rPr>
            </w:pPr>
          </w:p>
        </w:tc>
        <w:tc>
          <w:tcPr>
            <w:tcW w:w="777" w:type="pct"/>
          </w:tcPr>
          <w:p w14:paraId="4D1FA675">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773" w:type="pct"/>
          </w:tcPr>
          <w:p w14:paraId="08A8D084">
            <w:pPr>
              <w:rPr>
                <w:rFonts w:hint="eastAsia" w:asciiTheme="minorEastAsia" w:hAnsiTheme="minorEastAsia" w:eastAsiaTheme="minorEastAsia"/>
                <w:sz w:val="24"/>
                <w:highlight w:val="none"/>
              </w:rPr>
            </w:pPr>
          </w:p>
        </w:tc>
        <w:tc>
          <w:tcPr>
            <w:tcW w:w="773" w:type="pct"/>
          </w:tcPr>
          <w:p w14:paraId="2F7BFA8E">
            <w:pPr>
              <w:rPr>
                <w:rFonts w:hint="eastAsia" w:asciiTheme="minorEastAsia" w:hAnsiTheme="minorEastAsia" w:eastAsiaTheme="minorEastAsia"/>
                <w:sz w:val="24"/>
                <w:highlight w:val="none"/>
              </w:rPr>
            </w:pPr>
          </w:p>
        </w:tc>
        <w:tc>
          <w:tcPr>
            <w:tcW w:w="394" w:type="pct"/>
          </w:tcPr>
          <w:p w14:paraId="73F46BAD">
            <w:pPr>
              <w:rPr>
                <w:rFonts w:hint="eastAsia" w:asciiTheme="minorEastAsia" w:hAnsiTheme="minorEastAsia" w:eastAsiaTheme="minorEastAsia"/>
                <w:sz w:val="24"/>
                <w:highlight w:val="none"/>
              </w:rPr>
            </w:pPr>
          </w:p>
        </w:tc>
        <w:tc>
          <w:tcPr>
            <w:tcW w:w="394" w:type="pct"/>
          </w:tcPr>
          <w:p w14:paraId="388A6E8E">
            <w:pPr>
              <w:rPr>
                <w:rFonts w:hint="eastAsia" w:asciiTheme="minorEastAsia" w:hAnsiTheme="minorEastAsia" w:eastAsiaTheme="minorEastAsia"/>
                <w:sz w:val="24"/>
                <w:highlight w:val="none"/>
              </w:rPr>
            </w:pPr>
          </w:p>
        </w:tc>
        <w:tc>
          <w:tcPr>
            <w:tcW w:w="551" w:type="pct"/>
          </w:tcPr>
          <w:p w14:paraId="68BC7A68">
            <w:pPr>
              <w:rPr>
                <w:rFonts w:hint="eastAsia" w:asciiTheme="minorEastAsia" w:hAnsiTheme="minorEastAsia" w:eastAsiaTheme="minorEastAsia"/>
                <w:sz w:val="24"/>
                <w:highlight w:val="none"/>
              </w:rPr>
            </w:pPr>
          </w:p>
        </w:tc>
        <w:tc>
          <w:tcPr>
            <w:tcW w:w="551" w:type="pct"/>
          </w:tcPr>
          <w:p w14:paraId="12945103">
            <w:pPr>
              <w:rPr>
                <w:rFonts w:hint="eastAsia" w:asciiTheme="minorEastAsia" w:hAnsiTheme="minorEastAsia" w:eastAsiaTheme="minorEastAsia"/>
                <w:sz w:val="24"/>
                <w:highlight w:val="none"/>
              </w:rPr>
            </w:pPr>
          </w:p>
        </w:tc>
        <w:tc>
          <w:tcPr>
            <w:tcW w:w="393" w:type="pct"/>
          </w:tcPr>
          <w:p w14:paraId="0038E44F">
            <w:pPr>
              <w:rPr>
                <w:rFonts w:hint="eastAsia" w:asciiTheme="minorEastAsia" w:hAnsiTheme="minorEastAsia" w:eastAsiaTheme="minorEastAsia"/>
                <w:sz w:val="24"/>
                <w:highlight w:val="none"/>
              </w:rPr>
            </w:pPr>
          </w:p>
        </w:tc>
      </w:tr>
      <w:tr w14:paraId="2384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18867C0F">
            <w:pPr>
              <w:pStyle w:val="51"/>
              <w:jc w:val="center"/>
              <w:rPr>
                <w:rFonts w:hint="eastAsia" w:asciiTheme="minorEastAsia" w:hAnsiTheme="minorEastAsia" w:eastAsiaTheme="minorEastAsia"/>
                <w:highlight w:val="none"/>
              </w:rPr>
            </w:pPr>
            <w:r>
              <w:rPr>
                <w:rFonts w:hint="eastAsia" w:asciiTheme="minorEastAsia" w:hAnsiTheme="minorEastAsia" w:eastAsiaTheme="minorEastAsia"/>
                <w:highlight w:val="none"/>
              </w:rPr>
              <w:t>合计（元）</w:t>
            </w:r>
          </w:p>
        </w:tc>
        <w:tc>
          <w:tcPr>
            <w:tcW w:w="773" w:type="pct"/>
          </w:tcPr>
          <w:p w14:paraId="29776283">
            <w:pPr>
              <w:rPr>
                <w:rFonts w:hint="eastAsia" w:asciiTheme="minorEastAsia" w:hAnsiTheme="minorEastAsia" w:eastAsiaTheme="minorEastAsia"/>
                <w:sz w:val="24"/>
                <w:highlight w:val="none"/>
              </w:rPr>
            </w:pPr>
          </w:p>
        </w:tc>
        <w:tc>
          <w:tcPr>
            <w:tcW w:w="773" w:type="pct"/>
          </w:tcPr>
          <w:p w14:paraId="610C746C">
            <w:pPr>
              <w:rPr>
                <w:rFonts w:hint="eastAsia" w:asciiTheme="minorEastAsia" w:hAnsiTheme="minorEastAsia" w:eastAsiaTheme="minorEastAsia"/>
                <w:sz w:val="24"/>
                <w:highlight w:val="none"/>
              </w:rPr>
            </w:pPr>
          </w:p>
        </w:tc>
        <w:tc>
          <w:tcPr>
            <w:tcW w:w="394" w:type="pct"/>
          </w:tcPr>
          <w:p w14:paraId="094DB1B5">
            <w:pPr>
              <w:rPr>
                <w:rFonts w:hint="eastAsia" w:asciiTheme="minorEastAsia" w:hAnsiTheme="minorEastAsia" w:eastAsiaTheme="minorEastAsia"/>
                <w:sz w:val="24"/>
                <w:highlight w:val="none"/>
              </w:rPr>
            </w:pPr>
          </w:p>
        </w:tc>
        <w:tc>
          <w:tcPr>
            <w:tcW w:w="394" w:type="pct"/>
          </w:tcPr>
          <w:p w14:paraId="3BB56719">
            <w:pPr>
              <w:rPr>
                <w:rFonts w:hint="eastAsia" w:asciiTheme="minorEastAsia" w:hAnsiTheme="minorEastAsia" w:eastAsiaTheme="minorEastAsia"/>
                <w:sz w:val="24"/>
                <w:highlight w:val="none"/>
              </w:rPr>
            </w:pPr>
          </w:p>
        </w:tc>
        <w:tc>
          <w:tcPr>
            <w:tcW w:w="551" w:type="pct"/>
          </w:tcPr>
          <w:p w14:paraId="211AF80B">
            <w:pPr>
              <w:rPr>
                <w:rFonts w:hint="eastAsia" w:asciiTheme="minorEastAsia" w:hAnsiTheme="minorEastAsia" w:eastAsiaTheme="minorEastAsia"/>
                <w:sz w:val="24"/>
                <w:highlight w:val="none"/>
              </w:rPr>
            </w:pPr>
          </w:p>
        </w:tc>
        <w:tc>
          <w:tcPr>
            <w:tcW w:w="551" w:type="pct"/>
          </w:tcPr>
          <w:p w14:paraId="0F606FA8">
            <w:pPr>
              <w:rPr>
                <w:rFonts w:hint="eastAsia" w:asciiTheme="minorEastAsia" w:hAnsiTheme="minorEastAsia" w:eastAsiaTheme="minorEastAsia"/>
                <w:sz w:val="24"/>
                <w:highlight w:val="none"/>
              </w:rPr>
            </w:pPr>
          </w:p>
        </w:tc>
        <w:tc>
          <w:tcPr>
            <w:tcW w:w="393" w:type="pct"/>
          </w:tcPr>
          <w:p w14:paraId="347B0D77">
            <w:pPr>
              <w:rPr>
                <w:rFonts w:hint="eastAsia" w:asciiTheme="minorEastAsia" w:hAnsiTheme="minorEastAsia" w:eastAsiaTheme="minorEastAsia"/>
                <w:sz w:val="24"/>
                <w:highlight w:val="none"/>
              </w:rPr>
            </w:pPr>
          </w:p>
        </w:tc>
      </w:tr>
    </w:tbl>
    <w:p w14:paraId="466CB67F">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w:t>
      </w:r>
      <w:r>
        <w:rPr>
          <w:rFonts w:hint="eastAsia" w:ascii="宋体" w:hAnsi="宋体" w:eastAsia="宋体"/>
          <w:sz w:val="24"/>
          <w:highlight w:val="none"/>
          <w:lang w:eastAsia="zh-CN"/>
        </w:rPr>
        <w:t>公章</w:t>
      </w:r>
      <w:r>
        <w:rPr>
          <w:rFonts w:hint="eastAsia" w:ascii="宋体" w:hAnsi="宋体" w:eastAsia="宋体"/>
          <w:sz w:val="24"/>
          <w:highlight w:val="none"/>
        </w:rPr>
        <w:t>：</w:t>
      </w:r>
      <w:r>
        <w:rPr>
          <w:rFonts w:hint="eastAsia" w:ascii="宋体" w:hAnsi="宋体" w:eastAsia="宋体"/>
          <w:sz w:val="24"/>
          <w:highlight w:val="none"/>
          <w:u w:val="single"/>
        </w:rPr>
        <w:t xml:space="preserve">             </w:t>
      </w:r>
    </w:p>
    <w:p w14:paraId="216F91D2">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0A9D0682">
      <w:pPr>
        <w:adjustRightInd w:val="0"/>
        <w:snapToGrid w:val="0"/>
        <w:spacing w:line="360" w:lineRule="auto"/>
        <w:rPr>
          <w:rFonts w:hint="eastAsia" w:asciiTheme="minorEastAsia" w:hAnsiTheme="minorEastAsia" w:eastAsiaTheme="minorEastAsia"/>
          <w:b/>
          <w:bCs/>
          <w:sz w:val="24"/>
          <w:szCs w:val="28"/>
          <w:highlight w:val="none"/>
        </w:rPr>
      </w:pPr>
    </w:p>
    <w:p w14:paraId="265232E7">
      <w:pPr>
        <w:adjustRightInd w:val="0"/>
        <w:snapToGrid w:val="0"/>
        <w:spacing w:line="360" w:lineRule="auto"/>
        <w:rPr>
          <w:rFonts w:hint="eastAsia" w:asciiTheme="minorEastAsia" w:hAnsiTheme="minorEastAsia" w:eastAsiaTheme="minorEastAsia"/>
          <w:b/>
          <w:bCs/>
          <w:sz w:val="24"/>
          <w:szCs w:val="28"/>
          <w:highlight w:val="none"/>
        </w:rPr>
      </w:pPr>
      <w:r>
        <w:rPr>
          <w:rFonts w:hint="eastAsia" w:asciiTheme="minorEastAsia" w:hAnsiTheme="minorEastAsia" w:eastAsiaTheme="minorEastAsia"/>
          <w:b/>
          <w:bCs/>
          <w:sz w:val="24"/>
          <w:szCs w:val="28"/>
          <w:highlight w:val="none"/>
        </w:rPr>
        <w:t>注：</w:t>
      </w:r>
    </w:p>
    <w:p w14:paraId="02F3018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表中所列货物为对应本项目需求的全部货物及所需附件购置费、包装费、运输费、人工费、保险费、所有辅材、安装调试费、各种税费、资料费、售后服务费及完成项目应有的全部费用。如有漏项或缺项，投标人承担全部责任。</w:t>
      </w:r>
    </w:p>
    <w:p w14:paraId="33954A4D">
      <w:pPr>
        <w:spacing w:line="360" w:lineRule="auto"/>
        <w:ind w:firstLine="435"/>
        <w:rPr>
          <w:rFonts w:hint="eastAsia"/>
          <w:highlight w:val="none"/>
        </w:rPr>
      </w:pPr>
      <w:r>
        <w:rPr>
          <w:rFonts w:hint="eastAsia" w:asciiTheme="minorEastAsia" w:hAnsiTheme="minorEastAsia" w:eastAsiaTheme="minorEastAsia"/>
          <w:sz w:val="24"/>
          <w:highlight w:val="none"/>
        </w:rPr>
        <w:t>2.表中须明确列出所投产品的货物名称、品牌、型号规格、原产地及生产厂商，否则可能导致</w:t>
      </w:r>
      <w:r>
        <w:rPr>
          <w:rFonts w:hint="eastAsia" w:asciiTheme="minorEastAsia" w:hAnsiTheme="minorEastAsia" w:eastAsiaTheme="minorEastAsia"/>
          <w:b/>
          <w:bCs/>
          <w:sz w:val="24"/>
          <w:highlight w:val="none"/>
        </w:rPr>
        <w:t>投标无效</w:t>
      </w:r>
      <w:r>
        <w:rPr>
          <w:rFonts w:hint="eastAsia" w:asciiTheme="minorEastAsia" w:hAnsiTheme="minorEastAsia" w:eastAsiaTheme="minorEastAsia"/>
          <w:sz w:val="24"/>
          <w:highlight w:val="none"/>
        </w:rPr>
        <w:t>。</w:t>
      </w:r>
    </w:p>
    <w:p w14:paraId="47DED2A0">
      <w:pPr>
        <w:widowControl/>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0CD67A63">
      <w:pPr>
        <w:spacing w:line="360" w:lineRule="auto"/>
        <w:jc w:val="center"/>
        <w:outlineLvl w:val="1"/>
        <w:rPr>
          <w:rFonts w:hint="eastAsia" w:asciiTheme="minorEastAsia" w:hAnsiTheme="minorEastAsia" w:eastAsiaTheme="minorEastAsia"/>
          <w:b/>
          <w:sz w:val="24"/>
          <w:highlight w:val="none"/>
        </w:rPr>
      </w:pPr>
      <w:bookmarkStart w:id="89" w:name="_Toc13064"/>
      <w:bookmarkStart w:id="90" w:name="_Toc20329"/>
      <w:bookmarkStart w:id="91" w:name="_Toc11940"/>
      <w:r>
        <w:rPr>
          <w:rFonts w:hint="eastAsia" w:asciiTheme="minorEastAsia" w:hAnsiTheme="minorEastAsia" w:eastAsiaTheme="minorEastAsia"/>
          <w:b/>
          <w:sz w:val="24"/>
          <w:highlight w:val="none"/>
        </w:rPr>
        <w:t>六、投标响应表</w:t>
      </w:r>
      <w:bookmarkEnd w:id="89"/>
      <w:bookmarkEnd w:id="90"/>
      <w:bookmarkEnd w:id="91"/>
    </w:p>
    <w:p w14:paraId="6F7BC7D2">
      <w:pPr>
        <w:spacing w:line="360" w:lineRule="auto"/>
        <w:ind w:firstLine="435"/>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089"/>
        <w:gridCol w:w="2723"/>
        <w:gridCol w:w="2806"/>
        <w:gridCol w:w="883"/>
      </w:tblGrid>
      <w:tr w14:paraId="2904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4907595A">
            <w:pPr>
              <w:pStyle w:val="12"/>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序号</w:t>
            </w:r>
          </w:p>
        </w:tc>
        <w:tc>
          <w:tcPr>
            <w:tcW w:w="1124" w:type="pct"/>
            <w:vAlign w:val="center"/>
          </w:tcPr>
          <w:p w14:paraId="7D28F36D">
            <w:pPr>
              <w:pStyle w:val="12"/>
              <w:jc w:val="center"/>
              <w:rPr>
                <w:rFonts w:hint="eastAsia" w:cs="Wingdings" w:asciiTheme="minorEastAsia" w:hAnsiTheme="minorEastAsia"/>
                <w:b/>
                <w:sz w:val="24"/>
                <w:highlight w:val="none"/>
              </w:rPr>
            </w:pPr>
            <w:r>
              <w:rPr>
                <w:rFonts w:hint="eastAsia" w:asciiTheme="minorEastAsia" w:hAnsiTheme="minorEastAsia"/>
                <w:b/>
                <w:bCs/>
                <w:sz w:val="24"/>
                <w:szCs w:val="24"/>
                <w:highlight w:val="none"/>
              </w:rPr>
              <w:t>商务条款</w:t>
            </w:r>
          </w:p>
        </w:tc>
        <w:tc>
          <w:tcPr>
            <w:tcW w:w="1465" w:type="pct"/>
            <w:vAlign w:val="center"/>
          </w:tcPr>
          <w:p w14:paraId="1A12FDBF">
            <w:pPr>
              <w:pStyle w:val="12"/>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招标文件要求</w:t>
            </w:r>
          </w:p>
        </w:tc>
        <w:tc>
          <w:tcPr>
            <w:tcW w:w="1510" w:type="pct"/>
            <w:vAlign w:val="center"/>
          </w:tcPr>
          <w:p w14:paraId="56891C6F">
            <w:pPr>
              <w:pStyle w:val="12"/>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投标人承诺</w:t>
            </w:r>
          </w:p>
        </w:tc>
        <w:tc>
          <w:tcPr>
            <w:tcW w:w="475" w:type="pct"/>
            <w:vAlign w:val="center"/>
          </w:tcPr>
          <w:p w14:paraId="3630DEB3">
            <w:pPr>
              <w:pStyle w:val="12"/>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0DA2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D912C0D">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1124" w:type="pct"/>
            <w:vAlign w:val="center"/>
          </w:tcPr>
          <w:p w14:paraId="33219898">
            <w:pPr>
              <w:jc w:val="center"/>
              <w:rPr>
                <w:rFonts w:hint="eastAsia" w:ascii="宋体" w:hAnsi="宋体" w:eastAsia="宋体"/>
                <w:sz w:val="24"/>
                <w:highlight w:val="none"/>
              </w:rPr>
            </w:pPr>
            <w:r>
              <w:rPr>
                <w:rFonts w:asciiTheme="minorEastAsia" w:hAnsiTheme="minorEastAsia" w:eastAsiaTheme="minorEastAsia"/>
                <w:sz w:val="24"/>
                <w:highlight w:val="none"/>
              </w:rPr>
              <w:t>付款方式</w:t>
            </w:r>
          </w:p>
        </w:tc>
        <w:tc>
          <w:tcPr>
            <w:tcW w:w="1465" w:type="pct"/>
            <w:vAlign w:val="center"/>
          </w:tcPr>
          <w:p w14:paraId="09466F14">
            <w:pPr>
              <w:jc w:val="center"/>
              <w:rPr>
                <w:rFonts w:hint="eastAsia" w:asciiTheme="minorEastAsia" w:hAnsiTheme="minorEastAsia" w:eastAsiaTheme="minorEastAsia"/>
                <w:sz w:val="24"/>
                <w:highlight w:val="none"/>
              </w:rPr>
            </w:pPr>
          </w:p>
        </w:tc>
        <w:tc>
          <w:tcPr>
            <w:tcW w:w="1510" w:type="pct"/>
            <w:vAlign w:val="center"/>
          </w:tcPr>
          <w:p w14:paraId="50EE28F7">
            <w:pPr>
              <w:jc w:val="center"/>
              <w:rPr>
                <w:rFonts w:hint="eastAsia" w:asciiTheme="minorEastAsia" w:hAnsiTheme="minorEastAsia" w:eastAsiaTheme="minorEastAsia"/>
                <w:sz w:val="24"/>
                <w:highlight w:val="none"/>
              </w:rPr>
            </w:pPr>
          </w:p>
        </w:tc>
        <w:tc>
          <w:tcPr>
            <w:tcW w:w="475" w:type="pct"/>
            <w:vAlign w:val="center"/>
          </w:tcPr>
          <w:p w14:paraId="169C68FD">
            <w:pPr>
              <w:jc w:val="center"/>
              <w:rPr>
                <w:rFonts w:hint="eastAsia" w:asciiTheme="minorEastAsia" w:hAnsiTheme="minorEastAsia" w:eastAsiaTheme="minorEastAsia"/>
                <w:sz w:val="24"/>
                <w:highlight w:val="none"/>
              </w:rPr>
            </w:pPr>
          </w:p>
        </w:tc>
      </w:tr>
      <w:tr w14:paraId="013B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2E13D44">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124" w:type="pct"/>
            <w:vAlign w:val="center"/>
          </w:tcPr>
          <w:p w14:paraId="05E6222A">
            <w:pPr>
              <w:jc w:val="center"/>
              <w:rPr>
                <w:rFonts w:hint="eastAsia" w:ascii="宋体" w:hAnsi="宋体" w:eastAsia="宋体"/>
                <w:sz w:val="24"/>
                <w:highlight w:val="none"/>
              </w:rPr>
            </w:pPr>
            <w:r>
              <w:rPr>
                <w:rFonts w:hint="eastAsia" w:ascii="宋体" w:hAnsi="宋体" w:eastAsia="宋体"/>
                <w:sz w:val="24"/>
                <w:highlight w:val="none"/>
              </w:rPr>
              <w:t>供货及安装地点</w:t>
            </w:r>
          </w:p>
        </w:tc>
        <w:tc>
          <w:tcPr>
            <w:tcW w:w="1465" w:type="pct"/>
            <w:vAlign w:val="center"/>
          </w:tcPr>
          <w:p w14:paraId="38FCCAB3">
            <w:pPr>
              <w:jc w:val="center"/>
              <w:rPr>
                <w:rFonts w:hint="eastAsia" w:asciiTheme="minorEastAsia" w:hAnsiTheme="minorEastAsia" w:eastAsiaTheme="minorEastAsia"/>
                <w:sz w:val="24"/>
                <w:highlight w:val="none"/>
              </w:rPr>
            </w:pPr>
          </w:p>
        </w:tc>
        <w:tc>
          <w:tcPr>
            <w:tcW w:w="1510" w:type="pct"/>
            <w:vAlign w:val="center"/>
          </w:tcPr>
          <w:p w14:paraId="14A08863">
            <w:pPr>
              <w:jc w:val="center"/>
              <w:rPr>
                <w:rFonts w:hint="eastAsia" w:asciiTheme="minorEastAsia" w:hAnsiTheme="minorEastAsia" w:eastAsiaTheme="minorEastAsia"/>
                <w:sz w:val="24"/>
                <w:highlight w:val="none"/>
              </w:rPr>
            </w:pPr>
          </w:p>
        </w:tc>
        <w:tc>
          <w:tcPr>
            <w:tcW w:w="475" w:type="pct"/>
            <w:vAlign w:val="center"/>
          </w:tcPr>
          <w:p w14:paraId="14C69F95">
            <w:pPr>
              <w:jc w:val="center"/>
              <w:rPr>
                <w:rFonts w:hint="eastAsia" w:asciiTheme="minorEastAsia" w:hAnsiTheme="minorEastAsia" w:eastAsiaTheme="minorEastAsia"/>
                <w:sz w:val="24"/>
                <w:highlight w:val="none"/>
              </w:rPr>
            </w:pPr>
          </w:p>
        </w:tc>
      </w:tr>
      <w:tr w14:paraId="06AD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9832A06">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124" w:type="pct"/>
            <w:vAlign w:val="center"/>
          </w:tcPr>
          <w:p w14:paraId="47C38132">
            <w:pPr>
              <w:jc w:val="center"/>
              <w:rPr>
                <w:rFonts w:hint="eastAsia" w:ascii="宋体" w:hAnsi="宋体" w:eastAsia="宋体"/>
                <w:sz w:val="24"/>
                <w:highlight w:val="none"/>
              </w:rPr>
            </w:pPr>
            <w:r>
              <w:rPr>
                <w:rFonts w:hint="eastAsia" w:ascii="宋体" w:hAnsi="宋体" w:eastAsia="宋体"/>
                <w:sz w:val="24"/>
                <w:highlight w:val="none"/>
              </w:rPr>
              <w:t>供货及安装期限</w:t>
            </w:r>
          </w:p>
        </w:tc>
        <w:tc>
          <w:tcPr>
            <w:tcW w:w="1465" w:type="pct"/>
            <w:vAlign w:val="center"/>
          </w:tcPr>
          <w:p w14:paraId="304DE52D">
            <w:pPr>
              <w:jc w:val="center"/>
              <w:rPr>
                <w:rFonts w:hint="eastAsia" w:asciiTheme="minorEastAsia" w:hAnsiTheme="minorEastAsia" w:eastAsiaTheme="minorEastAsia"/>
                <w:sz w:val="24"/>
                <w:highlight w:val="none"/>
              </w:rPr>
            </w:pPr>
          </w:p>
        </w:tc>
        <w:tc>
          <w:tcPr>
            <w:tcW w:w="1510" w:type="pct"/>
            <w:vAlign w:val="center"/>
          </w:tcPr>
          <w:p w14:paraId="563DB64F">
            <w:pPr>
              <w:pStyle w:val="51"/>
              <w:jc w:val="center"/>
              <w:rPr>
                <w:rFonts w:hint="eastAsia" w:asciiTheme="minorEastAsia" w:hAnsiTheme="minorEastAsia" w:eastAsiaTheme="minorEastAsia"/>
                <w:highlight w:val="none"/>
              </w:rPr>
            </w:pPr>
          </w:p>
        </w:tc>
        <w:tc>
          <w:tcPr>
            <w:tcW w:w="475" w:type="pct"/>
            <w:vAlign w:val="center"/>
          </w:tcPr>
          <w:p w14:paraId="5EA634C4">
            <w:pPr>
              <w:jc w:val="center"/>
              <w:rPr>
                <w:rFonts w:hint="eastAsia" w:asciiTheme="minorEastAsia" w:hAnsiTheme="minorEastAsia" w:eastAsiaTheme="minorEastAsia"/>
                <w:sz w:val="24"/>
                <w:highlight w:val="none"/>
              </w:rPr>
            </w:pPr>
          </w:p>
        </w:tc>
      </w:tr>
      <w:tr w14:paraId="12E7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6EA29D3">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124" w:type="pct"/>
            <w:vAlign w:val="center"/>
          </w:tcPr>
          <w:p w14:paraId="2E026558">
            <w:pPr>
              <w:jc w:val="center"/>
              <w:rPr>
                <w:rFonts w:hint="eastAsia" w:ascii="宋体" w:hAnsi="宋体" w:eastAsia="宋体"/>
                <w:sz w:val="24"/>
                <w:highlight w:val="none"/>
              </w:rPr>
            </w:pPr>
            <w:r>
              <w:rPr>
                <w:rFonts w:hint="eastAsia" w:ascii="宋体" w:hAnsi="宋体" w:eastAsia="宋体"/>
                <w:sz w:val="24"/>
                <w:highlight w:val="none"/>
              </w:rPr>
              <w:t>免费质保期</w:t>
            </w:r>
          </w:p>
        </w:tc>
        <w:tc>
          <w:tcPr>
            <w:tcW w:w="1465" w:type="pct"/>
            <w:vAlign w:val="center"/>
          </w:tcPr>
          <w:p w14:paraId="3A98EC76">
            <w:pPr>
              <w:jc w:val="center"/>
              <w:rPr>
                <w:rFonts w:hint="eastAsia" w:asciiTheme="minorEastAsia" w:hAnsiTheme="minorEastAsia" w:eastAsiaTheme="minorEastAsia"/>
                <w:sz w:val="24"/>
                <w:highlight w:val="none"/>
              </w:rPr>
            </w:pPr>
          </w:p>
        </w:tc>
        <w:tc>
          <w:tcPr>
            <w:tcW w:w="1510" w:type="pct"/>
            <w:vAlign w:val="center"/>
          </w:tcPr>
          <w:p w14:paraId="710BFAF7">
            <w:pPr>
              <w:jc w:val="center"/>
              <w:rPr>
                <w:rFonts w:hint="eastAsia" w:asciiTheme="minorEastAsia" w:hAnsiTheme="minorEastAsia" w:eastAsiaTheme="minorEastAsia"/>
                <w:sz w:val="24"/>
                <w:highlight w:val="none"/>
              </w:rPr>
            </w:pPr>
          </w:p>
        </w:tc>
        <w:tc>
          <w:tcPr>
            <w:tcW w:w="475" w:type="pct"/>
            <w:vAlign w:val="center"/>
          </w:tcPr>
          <w:p w14:paraId="66ED3392">
            <w:pPr>
              <w:jc w:val="center"/>
              <w:rPr>
                <w:rFonts w:hint="eastAsia" w:asciiTheme="minorEastAsia" w:hAnsiTheme="minorEastAsia" w:eastAsiaTheme="minorEastAsia"/>
                <w:sz w:val="24"/>
                <w:highlight w:val="none"/>
              </w:rPr>
            </w:pPr>
          </w:p>
        </w:tc>
      </w:tr>
    </w:tbl>
    <w:p w14:paraId="5020CCE4">
      <w:pPr>
        <w:spacing w:line="360" w:lineRule="auto"/>
        <w:ind w:firstLine="435"/>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技术响应表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700"/>
        <w:gridCol w:w="3121"/>
        <w:gridCol w:w="2705"/>
        <w:gridCol w:w="933"/>
      </w:tblGrid>
      <w:tr w14:paraId="3241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63F4B7A0">
            <w:pPr>
              <w:pStyle w:val="12"/>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序号</w:t>
            </w:r>
          </w:p>
        </w:tc>
        <w:tc>
          <w:tcPr>
            <w:tcW w:w="915" w:type="pct"/>
            <w:vAlign w:val="center"/>
          </w:tcPr>
          <w:p w14:paraId="182964A0">
            <w:pPr>
              <w:pStyle w:val="12"/>
              <w:jc w:val="center"/>
              <w:rPr>
                <w:rFonts w:hint="eastAsia" w:cs="Wingdings" w:asciiTheme="minorEastAsia" w:hAnsiTheme="minorEastAsia"/>
                <w:b/>
                <w:sz w:val="24"/>
                <w:highlight w:val="none"/>
              </w:rPr>
            </w:pPr>
            <w:r>
              <w:rPr>
                <w:rFonts w:hint="eastAsia" w:asciiTheme="minorEastAsia" w:hAnsiTheme="minorEastAsia"/>
                <w:b/>
                <w:bCs/>
                <w:sz w:val="24"/>
                <w:szCs w:val="24"/>
                <w:highlight w:val="none"/>
              </w:rPr>
              <w:t>货物名称</w:t>
            </w:r>
          </w:p>
        </w:tc>
        <w:tc>
          <w:tcPr>
            <w:tcW w:w="1680" w:type="pct"/>
            <w:vAlign w:val="center"/>
          </w:tcPr>
          <w:p w14:paraId="58D3610B">
            <w:pPr>
              <w:pStyle w:val="12"/>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招标文件规定的技术参数及要求</w:t>
            </w:r>
          </w:p>
        </w:tc>
        <w:tc>
          <w:tcPr>
            <w:tcW w:w="1456" w:type="pct"/>
            <w:vAlign w:val="center"/>
          </w:tcPr>
          <w:p w14:paraId="37D21C69">
            <w:pPr>
              <w:pStyle w:val="12"/>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所投产品的品牌、型号及技术参数</w:t>
            </w:r>
          </w:p>
        </w:tc>
        <w:tc>
          <w:tcPr>
            <w:tcW w:w="502" w:type="pct"/>
            <w:vAlign w:val="center"/>
          </w:tcPr>
          <w:p w14:paraId="37F807B5">
            <w:pPr>
              <w:pStyle w:val="12"/>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1787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7479BB1">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915" w:type="pct"/>
            <w:vAlign w:val="center"/>
          </w:tcPr>
          <w:p w14:paraId="73CE198A">
            <w:pPr>
              <w:jc w:val="center"/>
              <w:rPr>
                <w:rFonts w:hint="eastAsia" w:asciiTheme="minorEastAsia" w:hAnsiTheme="minorEastAsia" w:eastAsiaTheme="minorEastAsia"/>
                <w:sz w:val="24"/>
                <w:highlight w:val="none"/>
              </w:rPr>
            </w:pPr>
          </w:p>
        </w:tc>
        <w:tc>
          <w:tcPr>
            <w:tcW w:w="1680" w:type="pct"/>
            <w:vAlign w:val="center"/>
          </w:tcPr>
          <w:p w14:paraId="1F9601D1">
            <w:pPr>
              <w:jc w:val="center"/>
              <w:rPr>
                <w:rFonts w:hint="eastAsia" w:asciiTheme="minorEastAsia" w:hAnsiTheme="minorEastAsia" w:eastAsiaTheme="minorEastAsia"/>
                <w:sz w:val="24"/>
                <w:highlight w:val="none"/>
              </w:rPr>
            </w:pPr>
          </w:p>
        </w:tc>
        <w:tc>
          <w:tcPr>
            <w:tcW w:w="1456" w:type="pct"/>
            <w:vAlign w:val="center"/>
          </w:tcPr>
          <w:p w14:paraId="07D5A5C8">
            <w:pPr>
              <w:jc w:val="center"/>
              <w:rPr>
                <w:rFonts w:hint="eastAsia" w:asciiTheme="minorEastAsia" w:hAnsiTheme="minorEastAsia" w:eastAsiaTheme="minorEastAsia"/>
                <w:sz w:val="24"/>
                <w:highlight w:val="none"/>
              </w:rPr>
            </w:pPr>
          </w:p>
        </w:tc>
        <w:tc>
          <w:tcPr>
            <w:tcW w:w="502" w:type="pct"/>
            <w:vAlign w:val="center"/>
          </w:tcPr>
          <w:p w14:paraId="49E5A073">
            <w:pPr>
              <w:jc w:val="center"/>
              <w:rPr>
                <w:rFonts w:hint="eastAsia" w:asciiTheme="minorEastAsia" w:hAnsiTheme="minorEastAsia" w:eastAsiaTheme="minorEastAsia"/>
                <w:sz w:val="24"/>
                <w:highlight w:val="none"/>
              </w:rPr>
            </w:pPr>
          </w:p>
        </w:tc>
      </w:tr>
      <w:tr w14:paraId="0645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8F604BF">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915" w:type="pct"/>
            <w:vAlign w:val="center"/>
          </w:tcPr>
          <w:p w14:paraId="53CE873C">
            <w:pPr>
              <w:jc w:val="center"/>
              <w:rPr>
                <w:rFonts w:hint="eastAsia" w:asciiTheme="minorEastAsia" w:hAnsiTheme="minorEastAsia" w:eastAsiaTheme="minorEastAsia"/>
                <w:sz w:val="24"/>
                <w:highlight w:val="none"/>
              </w:rPr>
            </w:pPr>
          </w:p>
        </w:tc>
        <w:tc>
          <w:tcPr>
            <w:tcW w:w="1680" w:type="pct"/>
            <w:vAlign w:val="center"/>
          </w:tcPr>
          <w:p w14:paraId="11558CAA">
            <w:pPr>
              <w:jc w:val="center"/>
              <w:rPr>
                <w:rFonts w:hint="eastAsia" w:asciiTheme="minorEastAsia" w:hAnsiTheme="minorEastAsia" w:eastAsiaTheme="minorEastAsia"/>
                <w:sz w:val="24"/>
                <w:highlight w:val="none"/>
              </w:rPr>
            </w:pPr>
          </w:p>
        </w:tc>
        <w:tc>
          <w:tcPr>
            <w:tcW w:w="1456" w:type="pct"/>
            <w:vAlign w:val="center"/>
          </w:tcPr>
          <w:p w14:paraId="56A82DC5">
            <w:pPr>
              <w:jc w:val="center"/>
              <w:rPr>
                <w:rFonts w:hint="eastAsia" w:asciiTheme="minorEastAsia" w:hAnsiTheme="minorEastAsia" w:eastAsiaTheme="minorEastAsia"/>
                <w:sz w:val="24"/>
                <w:highlight w:val="none"/>
              </w:rPr>
            </w:pPr>
          </w:p>
        </w:tc>
        <w:tc>
          <w:tcPr>
            <w:tcW w:w="502" w:type="pct"/>
            <w:vAlign w:val="center"/>
          </w:tcPr>
          <w:p w14:paraId="62A16368">
            <w:pPr>
              <w:jc w:val="center"/>
              <w:rPr>
                <w:rFonts w:hint="eastAsia" w:asciiTheme="minorEastAsia" w:hAnsiTheme="minorEastAsia" w:eastAsiaTheme="minorEastAsia"/>
                <w:sz w:val="24"/>
                <w:highlight w:val="none"/>
              </w:rPr>
            </w:pPr>
          </w:p>
        </w:tc>
      </w:tr>
      <w:tr w14:paraId="3CBD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BEBC602">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915" w:type="pct"/>
            <w:vAlign w:val="center"/>
          </w:tcPr>
          <w:p w14:paraId="596EB190">
            <w:pPr>
              <w:jc w:val="center"/>
              <w:rPr>
                <w:rFonts w:hint="eastAsia" w:asciiTheme="minorEastAsia" w:hAnsiTheme="minorEastAsia" w:eastAsiaTheme="minorEastAsia"/>
                <w:sz w:val="24"/>
                <w:highlight w:val="none"/>
              </w:rPr>
            </w:pPr>
          </w:p>
        </w:tc>
        <w:tc>
          <w:tcPr>
            <w:tcW w:w="1680" w:type="pct"/>
            <w:vAlign w:val="center"/>
          </w:tcPr>
          <w:p w14:paraId="3DB01A3F">
            <w:pPr>
              <w:jc w:val="center"/>
              <w:rPr>
                <w:rFonts w:hint="eastAsia" w:asciiTheme="minorEastAsia" w:hAnsiTheme="minorEastAsia" w:eastAsiaTheme="minorEastAsia"/>
                <w:sz w:val="24"/>
                <w:highlight w:val="none"/>
              </w:rPr>
            </w:pPr>
          </w:p>
        </w:tc>
        <w:tc>
          <w:tcPr>
            <w:tcW w:w="1456" w:type="pct"/>
            <w:vAlign w:val="center"/>
          </w:tcPr>
          <w:p w14:paraId="6F126241">
            <w:pPr>
              <w:pStyle w:val="51"/>
              <w:jc w:val="center"/>
              <w:rPr>
                <w:rFonts w:hint="eastAsia" w:asciiTheme="minorEastAsia" w:hAnsiTheme="minorEastAsia" w:eastAsiaTheme="minorEastAsia"/>
                <w:highlight w:val="none"/>
              </w:rPr>
            </w:pPr>
          </w:p>
        </w:tc>
        <w:tc>
          <w:tcPr>
            <w:tcW w:w="502" w:type="pct"/>
            <w:vAlign w:val="center"/>
          </w:tcPr>
          <w:p w14:paraId="2A7C4FA1">
            <w:pPr>
              <w:jc w:val="center"/>
              <w:rPr>
                <w:rFonts w:hint="eastAsia" w:asciiTheme="minorEastAsia" w:hAnsiTheme="minorEastAsia" w:eastAsiaTheme="minorEastAsia"/>
                <w:sz w:val="24"/>
                <w:highlight w:val="none"/>
              </w:rPr>
            </w:pPr>
          </w:p>
        </w:tc>
      </w:tr>
      <w:tr w14:paraId="516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FDF1D23">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915" w:type="pct"/>
            <w:vAlign w:val="center"/>
          </w:tcPr>
          <w:p w14:paraId="631E3416">
            <w:pPr>
              <w:jc w:val="center"/>
              <w:rPr>
                <w:rFonts w:hint="eastAsia" w:asciiTheme="minorEastAsia" w:hAnsiTheme="minorEastAsia" w:eastAsiaTheme="minorEastAsia"/>
                <w:sz w:val="24"/>
                <w:highlight w:val="none"/>
              </w:rPr>
            </w:pPr>
          </w:p>
        </w:tc>
        <w:tc>
          <w:tcPr>
            <w:tcW w:w="1680" w:type="pct"/>
            <w:vAlign w:val="center"/>
          </w:tcPr>
          <w:p w14:paraId="61AA7E28">
            <w:pPr>
              <w:jc w:val="center"/>
              <w:rPr>
                <w:rFonts w:hint="eastAsia" w:asciiTheme="minorEastAsia" w:hAnsiTheme="minorEastAsia" w:eastAsiaTheme="minorEastAsia"/>
                <w:sz w:val="24"/>
                <w:highlight w:val="none"/>
              </w:rPr>
            </w:pPr>
          </w:p>
        </w:tc>
        <w:tc>
          <w:tcPr>
            <w:tcW w:w="1456" w:type="pct"/>
            <w:vAlign w:val="center"/>
          </w:tcPr>
          <w:p w14:paraId="630E4875">
            <w:pPr>
              <w:pStyle w:val="51"/>
              <w:jc w:val="center"/>
              <w:rPr>
                <w:rFonts w:hint="eastAsia" w:asciiTheme="minorEastAsia" w:hAnsiTheme="minorEastAsia" w:eastAsiaTheme="minorEastAsia"/>
                <w:highlight w:val="none"/>
              </w:rPr>
            </w:pPr>
          </w:p>
        </w:tc>
        <w:tc>
          <w:tcPr>
            <w:tcW w:w="502" w:type="pct"/>
            <w:vAlign w:val="center"/>
          </w:tcPr>
          <w:p w14:paraId="383EBEA3">
            <w:pPr>
              <w:jc w:val="center"/>
              <w:rPr>
                <w:rFonts w:hint="eastAsia" w:asciiTheme="minorEastAsia" w:hAnsiTheme="minorEastAsia" w:eastAsiaTheme="minorEastAsia"/>
                <w:sz w:val="24"/>
                <w:highlight w:val="none"/>
              </w:rPr>
            </w:pPr>
          </w:p>
        </w:tc>
      </w:tr>
      <w:tr w14:paraId="0132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F417822">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915" w:type="pct"/>
            <w:vAlign w:val="center"/>
          </w:tcPr>
          <w:p w14:paraId="2835D1B6">
            <w:pPr>
              <w:jc w:val="center"/>
              <w:rPr>
                <w:rFonts w:hint="eastAsia" w:asciiTheme="minorEastAsia" w:hAnsiTheme="minorEastAsia" w:eastAsiaTheme="minorEastAsia"/>
                <w:sz w:val="24"/>
                <w:highlight w:val="none"/>
              </w:rPr>
            </w:pPr>
          </w:p>
        </w:tc>
        <w:tc>
          <w:tcPr>
            <w:tcW w:w="1680" w:type="pct"/>
            <w:vAlign w:val="center"/>
          </w:tcPr>
          <w:p w14:paraId="7B48C297">
            <w:pPr>
              <w:jc w:val="center"/>
              <w:rPr>
                <w:rFonts w:hint="eastAsia" w:asciiTheme="minorEastAsia" w:hAnsiTheme="minorEastAsia" w:eastAsiaTheme="minorEastAsia"/>
                <w:sz w:val="24"/>
                <w:highlight w:val="none"/>
              </w:rPr>
            </w:pPr>
          </w:p>
        </w:tc>
        <w:tc>
          <w:tcPr>
            <w:tcW w:w="1456" w:type="pct"/>
            <w:vAlign w:val="center"/>
          </w:tcPr>
          <w:p w14:paraId="20C651F1">
            <w:pPr>
              <w:jc w:val="center"/>
              <w:rPr>
                <w:rFonts w:hint="eastAsia" w:asciiTheme="minorEastAsia" w:hAnsiTheme="minorEastAsia" w:eastAsiaTheme="minorEastAsia"/>
                <w:sz w:val="24"/>
                <w:highlight w:val="none"/>
              </w:rPr>
            </w:pPr>
          </w:p>
        </w:tc>
        <w:tc>
          <w:tcPr>
            <w:tcW w:w="502" w:type="pct"/>
            <w:vAlign w:val="center"/>
          </w:tcPr>
          <w:p w14:paraId="54B0D7BD">
            <w:pPr>
              <w:jc w:val="center"/>
              <w:rPr>
                <w:rFonts w:hint="eastAsia" w:asciiTheme="minorEastAsia" w:hAnsiTheme="minorEastAsia" w:eastAsiaTheme="minorEastAsia"/>
                <w:sz w:val="24"/>
                <w:highlight w:val="none"/>
              </w:rPr>
            </w:pPr>
          </w:p>
        </w:tc>
      </w:tr>
    </w:tbl>
    <w:p w14:paraId="2F6BAAA0">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w:t>
      </w:r>
      <w:r>
        <w:rPr>
          <w:rFonts w:hint="eastAsia" w:ascii="宋体" w:hAnsi="宋体" w:eastAsia="宋体"/>
          <w:sz w:val="24"/>
          <w:highlight w:val="none"/>
          <w:lang w:eastAsia="zh-CN"/>
        </w:rPr>
        <w:t>公章</w:t>
      </w:r>
      <w:r>
        <w:rPr>
          <w:rFonts w:hint="eastAsia" w:ascii="宋体" w:hAnsi="宋体" w:eastAsia="宋体"/>
          <w:sz w:val="24"/>
          <w:highlight w:val="none"/>
        </w:rPr>
        <w:t>：</w:t>
      </w:r>
      <w:r>
        <w:rPr>
          <w:rFonts w:hint="eastAsia" w:ascii="宋体" w:hAnsi="宋体" w:eastAsia="宋体"/>
          <w:sz w:val="24"/>
          <w:highlight w:val="none"/>
          <w:u w:val="single"/>
        </w:rPr>
        <w:t xml:space="preserve">             </w:t>
      </w:r>
    </w:p>
    <w:p w14:paraId="02B9B925">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555015F8">
      <w:pPr>
        <w:pStyle w:val="9"/>
        <w:rPr>
          <w:rFonts w:hint="eastAsia" w:ascii="宋体" w:hAnsi="宋体" w:eastAsia="宋体" w:cs="宋体"/>
          <w:color w:val="000000"/>
          <w:kern w:val="0"/>
          <w:sz w:val="24"/>
          <w:highlight w:val="none"/>
          <w:lang w:val="en-US" w:bidi="ar"/>
        </w:rPr>
      </w:pPr>
    </w:p>
    <w:p w14:paraId="010EE741">
      <w:pPr>
        <w:spacing w:line="360" w:lineRule="exact"/>
        <w:ind w:firstLine="443" w:firstLineChars="147"/>
        <w:rPr>
          <w:rFonts w:hint="eastAsia" w:ascii="宋体" w:hAnsi="宋体" w:eastAsia="宋体" w:cs="宋体"/>
          <w:b/>
          <w:sz w:val="30"/>
          <w:szCs w:val="30"/>
          <w:highlight w:val="none"/>
        </w:rPr>
      </w:pPr>
    </w:p>
    <w:p w14:paraId="6463B49B">
      <w:pPr>
        <w:spacing w:line="360" w:lineRule="exact"/>
        <w:ind w:firstLine="443" w:firstLineChars="147"/>
        <w:rPr>
          <w:rFonts w:hint="eastAsia" w:ascii="宋体" w:hAnsi="宋体" w:eastAsia="宋体" w:cs="宋体"/>
          <w:b/>
          <w:sz w:val="30"/>
          <w:szCs w:val="30"/>
          <w:highlight w:val="none"/>
        </w:rPr>
      </w:pPr>
    </w:p>
    <w:p w14:paraId="03B35E9F">
      <w:pPr>
        <w:spacing w:line="360" w:lineRule="exact"/>
        <w:ind w:firstLine="443" w:firstLineChars="147"/>
        <w:rPr>
          <w:rFonts w:hint="eastAsia" w:ascii="宋体" w:hAnsi="宋体" w:eastAsia="宋体" w:cs="宋体"/>
          <w:b/>
          <w:sz w:val="30"/>
          <w:szCs w:val="30"/>
          <w:highlight w:val="none"/>
        </w:rPr>
      </w:pPr>
    </w:p>
    <w:p w14:paraId="039F2872">
      <w:pPr>
        <w:spacing w:line="360" w:lineRule="exact"/>
        <w:ind w:firstLine="443" w:firstLineChars="147"/>
        <w:rPr>
          <w:rFonts w:hint="eastAsia" w:ascii="宋体" w:hAnsi="宋体" w:eastAsia="宋体" w:cs="宋体"/>
          <w:b/>
          <w:sz w:val="30"/>
          <w:szCs w:val="30"/>
          <w:highlight w:val="none"/>
        </w:rPr>
      </w:pPr>
    </w:p>
    <w:p w14:paraId="1E11038D">
      <w:pPr>
        <w:spacing w:line="360" w:lineRule="exact"/>
        <w:ind w:firstLine="443" w:firstLineChars="147"/>
        <w:rPr>
          <w:rFonts w:hint="eastAsia" w:ascii="宋体" w:hAnsi="宋体" w:eastAsia="宋体" w:cs="宋体"/>
          <w:b/>
          <w:sz w:val="30"/>
          <w:szCs w:val="30"/>
          <w:highlight w:val="none"/>
        </w:rPr>
      </w:pPr>
    </w:p>
    <w:p w14:paraId="72DC2B4C">
      <w:pPr>
        <w:spacing w:line="360" w:lineRule="exact"/>
        <w:ind w:firstLine="443" w:firstLineChars="147"/>
        <w:rPr>
          <w:rFonts w:hint="eastAsia" w:ascii="宋体" w:hAnsi="宋体" w:eastAsia="宋体" w:cs="宋体"/>
          <w:b/>
          <w:sz w:val="30"/>
          <w:szCs w:val="30"/>
          <w:highlight w:val="none"/>
        </w:rPr>
      </w:pPr>
    </w:p>
    <w:p w14:paraId="0430413D">
      <w:pPr>
        <w:spacing w:line="360" w:lineRule="exact"/>
        <w:ind w:firstLine="443" w:firstLineChars="147"/>
        <w:rPr>
          <w:rFonts w:hint="eastAsia" w:ascii="宋体" w:hAnsi="宋体" w:eastAsia="宋体" w:cs="宋体"/>
          <w:b/>
          <w:sz w:val="30"/>
          <w:szCs w:val="30"/>
          <w:highlight w:val="none"/>
        </w:rPr>
      </w:pPr>
    </w:p>
    <w:p w14:paraId="439525BE">
      <w:pPr>
        <w:spacing w:line="360" w:lineRule="exact"/>
        <w:ind w:firstLine="443" w:firstLineChars="147"/>
        <w:rPr>
          <w:rFonts w:hint="eastAsia" w:ascii="宋体" w:hAnsi="宋体" w:eastAsia="宋体" w:cs="宋体"/>
          <w:b/>
          <w:sz w:val="30"/>
          <w:szCs w:val="30"/>
          <w:highlight w:val="none"/>
        </w:rPr>
      </w:pPr>
    </w:p>
    <w:p w14:paraId="77386031">
      <w:pPr>
        <w:spacing w:line="360" w:lineRule="exact"/>
        <w:ind w:firstLine="443" w:firstLineChars="147"/>
        <w:rPr>
          <w:rFonts w:hint="eastAsia" w:ascii="宋体" w:hAnsi="宋体" w:eastAsia="宋体" w:cs="宋体"/>
          <w:b/>
          <w:sz w:val="30"/>
          <w:szCs w:val="30"/>
          <w:highlight w:val="none"/>
        </w:rPr>
      </w:pPr>
    </w:p>
    <w:p w14:paraId="0FF0D618">
      <w:pPr>
        <w:spacing w:line="360" w:lineRule="exact"/>
        <w:ind w:firstLine="443" w:firstLineChars="147"/>
        <w:rPr>
          <w:rFonts w:hint="eastAsia" w:ascii="宋体" w:hAnsi="宋体" w:eastAsia="宋体" w:cs="宋体"/>
          <w:b/>
          <w:sz w:val="30"/>
          <w:szCs w:val="30"/>
          <w:highlight w:val="none"/>
        </w:rPr>
      </w:pPr>
    </w:p>
    <w:p w14:paraId="5AC2FDF5">
      <w:pPr>
        <w:spacing w:line="360" w:lineRule="exact"/>
        <w:ind w:firstLine="443" w:firstLineChars="147"/>
        <w:rPr>
          <w:rFonts w:hint="eastAsia" w:ascii="宋体" w:hAnsi="宋体" w:eastAsia="宋体" w:cs="宋体"/>
          <w:b/>
          <w:sz w:val="30"/>
          <w:szCs w:val="30"/>
          <w:highlight w:val="none"/>
        </w:rPr>
      </w:pPr>
    </w:p>
    <w:p w14:paraId="3FEDBBE1">
      <w:pPr>
        <w:spacing w:line="360" w:lineRule="exact"/>
        <w:ind w:firstLine="443" w:firstLineChars="147"/>
        <w:rPr>
          <w:rFonts w:hint="eastAsia" w:ascii="宋体" w:hAnsi="宋体" w:eastAsia="宋体" w:cs="宋体"/>
          <w:b/>
          <w:sz w:val="30"/>
          <w:szCs w:val="30"/>
          <w:highlight w:val="none"/>
        </w:rPr>
      </w:pPr>
    </w:p>
    <w:p w14:paraId="04E3149E">
      <w:pPr>
        <w:spacing w:line="360" w:lineRule="exact"/>
        <w:ind w:firstLine="443" w:firstLineChars="147"/>
        <w:rPr>
          <w:rFonts w:hint="eastAsia" w:ascii="宋体" w:hAnsi="宋体" w:eastAsia="宋体" w:cs="宋体"/>
          <w:b/>
          <w:sz w:val="30"/>
          <w:szCs w:val="30"/>
          <w:highlight w:val="none"/>
        </w:rPr>
      </w:pPr>
    </w:p>
    <w:p w14:paraId="30A2324C">
      <w:pPr>
        <w:spacing w:line="360" w:lineRule="exact"/>
        <w:ind w:firstLine="443" w:firstLineChars="147"/>
        <w:rPr>
          <w:rFonts w:hint="eastAsia" w:ascii="宋体" w:hAnsi="宋体" w:eastAsia="宋体" w:cs="宋体"/>
          <w:b/>
          <w:sz w:val="30"/>
          <w:szCs w:val="30"/>
          <w:highlight w:val="none"/>
        </w:rPr>
      </w:pPr>
    </w:p>
    <w:bookmarkEnd w:id="87"/>
    <w:bookmarkEnd w:id="88"/>
    <w:p w14:paraId="5A60AEE6">
      <w:pPr>
        <w:pageBreakBefore/>
        <w:spacing w:line="360" w:lineRule="auto"/>
        <w:jc w:val="center"/>
        <w:outlineLvl w:val="1"/>
        <w:rPr>
          <w:rFonts w:hint="eastAsia" w:asciiTheme="minorEastAsia" w:hAnsiTheme="minorEastAsia" w:eastAsiaTheme="minorEastAsia"/>
          <w:b/>
          <w:sz w:val="24"/>
          <w:highlight w:val="none"/>
        </w:rPr>
      </w:pPr>
      <w:bookmarkStart w:id="92" w:name="_Toc31244"/>
      <w:bookmarkStart w:id="93" w:name="_Toc9573"/>
      <w:bookmarkStart w:id="94" w:name="_Toc10699"/>
      <w:bookmarkStart w:id="95" w:name="OLE_LINK13"/>
      <w:bookmarkStart w:id="96" w:name="OLE_LINK14"/>
      <w:bookmarkStart w:id="97" w:name="_Toc16713"/>
      <w:bookmarkStart w:id="98" w:name="_Toc24563"/>
      <w:r>
        <w:rPr>
          <w:rFonts w:hint="eastAsia" w:asciiTheme="minorEastAsia" w:hAnsiTheme="minorEastAsia" w:eastAsiaTheme="minorEastAsia"/>
          <w:b/>
          <w:sz w:val="24"/>
          <w:highlight w:val="none"/>
        </w:rPr>
        <w:t>七、中小企业声明函</w:t>
      </w:r>
      <w:bookmarkEnd w:id="92"/>
      <w:bookmarkEnd w:id="93"/>
      <w:bookmarkEnd w:id="94"/>
    </w:p>
    <w:p w14:paraId="2791306B">
      <w:pPr>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（非中小企业投标，不需此件，请删去“中小企业声明函”）</w:t>
      </w:r>
    </w:p>
    <w:p w14:paraId="66BD7A5D">
      <w:pPr>
        <w:spacing w:line="360" w:lineRule="auto"/>
        <w:ind w:firstLine="435"/>
        <w:rPr>
          <w:rFonts w:hint="eastAsia" w:ascii="宋体" w:hAnsi="宋体" w:eastAsia="宋体"/>
          <w:sz w:val="24"/>
          <w:szCs w:val="24"/>
          <w:highlight w:val="none"/>
          <w:lang w:val="zh-CN"/>
        </w:rPr>
      </w:pPr>
    </w:p>
    <w:p w14:paraId="730BCA41">
      <w:pP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本公司（联合体）郑重声明，根据《政府采购促进中小企业发展管理办法》（财库﹝2020﹞46号）的规定，本公司（联合体）参加（</w:t>
      </w:r>
      <w:r>
        <w:rPr>
          <w:rFonts w:hint="eastAsia" w:ascii="宋体" w:hAnsi="宋体" w:eastAsia="宋体"/>
          <w:sz w:val="24"/>
          <w:szCs w:val="24"/>
          <w:highlight w:val="none"/>
          <w:u w:val="single"/>
          <w:lang w:val="zh-CN"/>
        </w:rPr>
        <w:t>单位</w:t>
      </w:r>
      <w:r>
        <w:rPr>
          <w:rFonts w:hint="eastAsia" w:ascii="宋体" w:hAnsi="宋体" w:eastAsia="宋体"/>
          <w:sz w:val="24"/>
          <w:szCs w:val="24"/>
          <w:highlight w:val="none"/>
          <w:u w:val="single"/>
        </w:rPr>
        <w:t>名称</w:t>
      </w:r>
      <w:r>
        <w:rPr>
          <w:rFonts w:hint="eastAsia" w:ascii="宋体" w:hAnsi="宋体" w:eastAsia="宋体"/>
          <w:sz w:val="24"/>
          <w:szCs w:val="24"/>
          <w:highlight w:val="none"/>
          <w:lang w:val="zh-CN"/>
        </w:rPr>
        <w:t>）的（</w:t>
      </w:r>
      <w:r>
        <w:rPr>
          <w:rFonts w:hint="eastAsia" w:ascii="宋体" w:hAnsi="宋体" w:eastAsia="宋体"/>
          <w:sz w:val="24"/>
          <w:szCs w:val="24"/>
          <w:highlight w:val="none"/>
          <w:u w:val="single"/>
          <w:lang w:val="zh-CN"/>
        </w:rPr>
        <w:t>项目</w:t>
      </w:r>
      <w:r>
        <w:rPr>
          <w:rFonts w:hint="eastAsia" w:ascii="宋体" w:hAnsi="宋体" w:eastAsia="宋体"/>
          <w:sz w:val="24"/>
          <w:szCs w:val="24"/>
          <w:highlight w:val="none"/>
          <w:u w:val="single"/>
        </w:rPr>
        <w:t>名称</w:t>
      </w:r>
      <w:r>
        <w:rPr>
          <w:rFonts w:hint="eastAsia" w:ascii="宋体" w:hAnsi="宋体" w:eastAsia="宋体"/>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5D4364D3">
      <w:pP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1.</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行业；制造商为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人，营业收入为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万元，资产总额为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073C8095">
      <w:pP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2.</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行业；制造商为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人，营业收入为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万元，资产总额为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24A08ED3">
      <w:pP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w:t>
      </w:r>
    </w:p>
    <w:p w14:paraId="5F88419C">
      <w:pP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以上企业，不属于大企业的分支机构，不存在控股股东为大企业的情形，也不存在与大企业的负责人为同一人的情形。</w:t>
      </w:r>
    </w:p>
    <w:p w14:paraId="2FB198CB">
      <w:pP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 xml:space="preserve">本企业对上述声明内容的真实性负责。如有虚假，将依法承担相应责任。 </w:t>
      </w:r>
    </w:p>
    <w:p w14:paraId="2B67C198">
      <w:pPr>
        <w:spacing w:line="360" w:lineRule="auto"/>
        <w:ind w:firstLine="435"/>
        <w:rPr>
          <w:rFonts w:hint="eastAsia" w:asciiTheme="minorEastAsia" w:hAnsiTheme="minorEastAsia" w:eastAsiaTheme="minorEastAsia"/>
          <w:sz w:val="24"/>
          <w:szCs w:val="24"/>
          <w:highlight w:val="none"/>
        </w:rPr>
      </w:pPr>
    </w:p>
    <w:p w14:paraId="4B6FB510">
      <w:pPr>
        <w:spacing w:line="360" w:lineRule="auto"/>
        <w:ind w:firstLine="435"/>
        <w:rPr>
          <w:rFonts w:hint="eastAsia" w:asciiTheme="minorEastAsia" w:hAnsiTheme="minorEastAsia" w:eastAsiaTheme="minorEastAsia"/>
          <w:sz w:val="24"/>
          <w:szCs w:val="24"/>
          <w:highlight w:val="none"/>
        </w:rPr>
      </w:pPr>
    </w:p>
    <w:p w14:paraId="194042BD">
      <w:pPr>
        <w:spacing w:line="360" w:lineRule="auto"/>
        <w:ind w:firstLine="4228" w:firstLineChars="1762"/>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w:t>
      </w:r>
      <w:r>
        <w:rPr>
          <w:rFonts w:hint="eastAsia" w:asciiTheme="minorEastAsia" w:hAnsiTheme="minorEastAsia" w:eastAsiaTheme="minorEastAsia"/>
          <w:sz w:val="24"/>
          <w:szCs w:val="24"/>
          <w:highlight w:val="none"/>
          <w:lang w:eastAsia="zh-CN"/>
        </w:rPr>
        <w:t>公章</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u w:val="single"/>
        </w:rPr>
        <w:t xml:space="preserve">             </w:t>
      </w:r>
    </w:p>
    <w:p w14:paraId="629F9C6E">
      <w:pPr>
        <w:tabs>
          <w:tab w:val="left" w:pos="4620"/>
        </w:tabs>
        <w:spacing w:line="360" w:lineRule="auto"/>
        <w:ind w:firstLine="4252" w:firstLineChars="1772"/>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 xml:space="preserve">    期：</w:t>
      </w:r>
      <w:r>
        <w:rPr>
          <w:rFonts w:asciiTheme="minorEastAsia" w:hAnsiTheme="minorEastAsia" w:eastAsiaTheme="minorEastAsia"/>
          <w:sz w:val="24"/>
          <w:szCs w:val="24"/>
          <w:highlight w:val="none"/>
          <w:u w:val="single"/>
        </w:rPr>
        <w:t xml:space="preserve">             </w:t>
      </w:r>
    </w:p>
    <w:p w14:paraId="65D06FD3">
      <w:pPr>
        <w:tabs>
          <w:tab w:val="left" w:pos="4620"/>
        </w:tabs>
        <w:spacing w:line="360" w:lineRule="auto"/>
        <w:jc w:val="left"/>
        <w:rPr>
          <w:rFonts w:hint="eastAsia" w:asciiTheme="minorEastAsia" w:hAnsiTheme="minorEastAsia" w:eastAsiaTheme="minorEastAsia"/>
          <w:sz w:val="24"/>
          <w:szCs w:val="24"/>
          <w:highlight w:val="none"/>
        </w:rPr>
      </w:pPr>
    </w:p>
    <w:p w14:paraId="5700F09A">
      <w:pPr>
        <w:tabs>
          <w:tab w:val="left" w:pos="4620"/>
        </w:tabs>
        <w:spacing w:line="360" w:lineRule="auto"/>
        <w:jc w:val="left"/>
        <w:rPr>
          <w:rFonts w:hint="eastAsia" w:asciiTheme="minorEastAsia" w:hAnsiTheme="minorEastAsia" w:eastAsiaTheme="minorEastAsia"/>
          <w:sz w:val="24"/>
          <w:szCs w:val="24"/>
          <w:highlight w:val="none"/>
        </w:rPr>
      </w:pPr>
    </w:p>
    <w:p w14:paraId="0EE435EE">
      <w:pPr>
        <w:tabs>
          <w:tab w:val="left" w:pos="4620"/>
        </w:tabs>
        <w:spacing w:line="360" w:lineRule="auto"/>
        <w:jc w:val="left"/>
        <w:rPr>
          <w:rFonts w:hint="eastAsia" w:asciiTheme="minorEastAsia" w:hAnsiTheme="minorEastAsia" w:eastAsiaTheme="minorEastAsia"/>
          <w:b/>
          <w:szCs w:val="24"/>
          <w:highlight w:val="none"/>
        </w:rPr>
      </w:pPr>
      <w:r>
        <w:rPr>
          <w:rFonts w:hint="eastAsia" w:asciiTheme="minorEastAsia" w:hAnsiTheme="minorEastAsia" w:eastAsiaTheme="minorEastAsia"/>
          <w:b/>
          <w:szCs w:val="24"/>
          <w:highlight w:val="none"/>
        </w:rPr>
        <w:t>注：</w:t>
      </w:r>
    </w:p>
    <w:p w14:paraId="33EF3A1A">
      <w:pPr>
        <w:tabs>
          <w:tab w:val="left" w:pos="4620"/>
        </w:tabs>
        <w:spacing w:line="360" w:lineRule="auto"/>
        <w:jc w:val="left"/>
        <w:rPr>
          <w:rFonts w:hint="eastAsia" w:asciiTheme="minorEastAsia" w:hAnsiTheme="minorEastAsia" w:eastAsiaTheme="minorEastAsia"/>
          <w:szCs w:val="24"/>
          <w:highlight w:val="none"/>
        </w:rPr>
      </w:pPr>
      <w:r>
        <w:rPr>
          <w:rFonts w:asciiTheme="minorEastAsia" w:hAnsiTheme="minorEastAsia" w:eastAsiaTheme="minorEastAsia"/>
          <w:szCs w:val="24"/>
          <w:highlight w:val="none"/>
        </w:rPr>
        <w:t>1.从业人员、营业收入、资产总额填报上一年数据，无上一年数据的新成立企业可不填报。</w:t>
      </w:r>
    </w:p>
    <w:p w14:paraId="418C5719">
      <w:pPr>
        <w:tabs>
          <w:tab w:val="left" w:pos="4620"/>
        </w:tabs>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highlight w:val="none"/>
          <w:lang w:val="zh-CN"/>
        </w:rPr>
        <w:t>如有虚假，将依法承担相应责任。</w:t>
      </w:r>
      <w:r>
        <w:rPr>
          <w:rFonts w:hint="eastAsia" w:ascii="宋体" w:hAnsi="宋体" w:eastAsia="宋体" w:cs="宋体"/>
          <w:b/>
          <w:bCs/>
          <w:szCs w:val="21"/>
          <w:highlight w:val="none"/>
        </w:rPr>
        <w:t>投标人自行登录工业和信息化部官网进行中小企业规模类型自测（查询网址https://www.miit.gov.cn/）。</w:t>
      </w:r>
    </w:p>
    <w:p w14:paraId="50733351">
      <w:pPr>
        <w:tabs>
          <w:tab w:val="left" w:pos="4620"/>
        </w:tabs>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3.上述“</w:t>
      </w:r>
      <w:r>
        <w:rPr>
          <w:rFonts w:hint="eastAsia" w:ascii="宋体" w:hAnsi="宋体" w:eastAsia="宋体" w:cs="宋体"/>
          <w:b/>
          <w:bCs/>
          <w:szCs w:val="21"/>
          <w:highlight w:val="none"/>
          <w:u w:val="single"/>
          <w:lang w:val="zh-CN"/>
        </w:rPr>
        <w:t>标的名称</w:t>
      </w:r>
      <w:r>
        <w:rPr>
          <w:rFonts w:hint="eastAsia" w:ascii="宋体" w:hAnsi="宋体" w:eastAsia="宋体" w:cs="宋体"/>
          <w:b/>
          <w:bCs/>
          <w:szCs w:val="21"/>
          <w:highlight w:val="none"/>
        </w:rPr>
        <w:t>”，详见第三章采购需求中明确的“货物名称”。</w:t>
      </w:r>
    </w:p>
    <w:p w14:paraId="563C13A8">
      <w:pPr>
        <w:tabs>
          <w:tab w:val="left" w:pos="4620"/>
        </w:tabs>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4.上述“</w:t>
      </w:r>
      <w:r>
        <w:rPr>
          <w:rFonts w:hint="eastAsia" w:ascii="宋体" w:hAnsi="宋体" w:eastAsia="宋体" w:cs="宋体"/>
          <w:b/>
          <w:bCs/>
          <w:szCs w:val="21"/>
          <w:highlight w:val="none"/>
          <w:u w:val="single"/>
        </w:rPr>
        <w:t>采购文件中明确的所属行业</w:t>
      </w:r>
      <w:r>
        <w:rPr>
          <w:rFonts w:hint="eastAsia" w:ascii="宋体" w:hAnsi="宋体" w:eastAsia="宋体" w:cs="宋体"/>
          <w:b/>
          <w:bCs/>
          <w:szCs w:val="21"/>
          <w:highlight w:val="none"/>
        </w:rPr>
        <w:t>”，详见第三章采购需求中明确的“所属行业”。</w:t>
      </w:r>
    </w:p>
    <w:p w14:paraId="0CD81287">
      <w:pPr>
        <w:tabs>
          <w:tab w:val="left" w:pos="4620"/>
        </w:tabs>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5．填写示例：</w:t>
      </w:r>
      <w:r>
        <w:rPr>
          <w:rFonts w:hint="eastAsia" w:ascii="宋体" w:hAnsi="宋体" w:eastAsia="宋体" w:cs="宋体"/>
          <w:b/>
          <w:bCs/>
          <w:szCs w:val="21"/>
          <w:highlight w:val="none"/>
          <w:u w:val="single"/>
          <w:lang w:val="zh-CN"/>
        </w:rPr>
        <w:t>某设备</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属于</w:t>
      </w:r>
      <w:r>
        <w:rPr>
          <w:rFonts w:hint="eastAsia" w:ascii="宋体" w:hAnsi="宋体" w:eastAsia="宋体" w:cs="宋体"/>
          <w:b/>
          <w:bCs/>
          <w:szCs w:val="21"/>
          <w:highlight w:val="none"/>
          <w:u w:val="single"/>
        </w:rPr>
        <w:t>（填写第三章采购需求中对应货物的“所属行业”，如工业）</w:t>
      </w:r>
      <w:r>
        <w:rPr>
          <w:rFonts w:hint="eastAsia" w:ascii="宋体" w:hAnsi="宋体" w:eastAsia="宋体" w:cs="宋体"/>
          <w:b/>
          <w:bCs/>
          <w:szCs w:val="21"/>
          <w:highlight w:val="none"/>
          <w:lang w:val="zh-CN"/>
        </w:rPr>
        <w:t>行业</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承接企业为</w:t>
      </w:r>
      <w:r>
        <w:rPr>
          <w:rFonts w:hint="eastAsia" w:ascii="宋体" w:hAnsi="宋体" w:eastAsia="宋体" w:cs="宋体"/>
          <w:b/>
          <w:bCs/>
          <w:szCs w:val="21"/>
          <w:highlight w:val="none"/>
          <w:u w:val="single"/>
          <w:lang w:val="zh-CN"/>
        </w:rPr>
        <w:t>某</w:t>
      </w:r>
      <w:r>
        <w:rPr>
          <w:rFonts w:hint="eastAsia" w:ascii="宋体" w:hAnsi="宋体" w:eastAsia="宋体" w:cs="宋体"/>
          <w:b/>
          <w:bCs/>
          <w:szCs w:val="21"/>
          <w:highlight w:val="none"/>
          <w:u w:val="single"/>
        </w:rPr>
        <w:t>企业</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从业人员</w:t>
      </w:r>
      <w:r>
        <w:rPr>
          <w:rFonts w:hint="eastAsia" w:ascii="宋体" w:hAnsi="宋体" w:eastAsia="宋体" w:cs="宋体"/>
          <w:b/>
          <w:bCs/>
          <w:szCs w:val="21"/>
          <w:highlight w:val="none"/>
          <w:u w:val="single"/>
        </w:rPr>
        <w:t>100</w:t>
      </w:r>
      <w:r>
        <w:rPr>
          <w:rFonts w:hint="eastAsia" w:ascii="宋体" w:hAnsi="宋体" w:eastAsia="宋体" w:cs="宋体"/>
          <w:b/>
          <w:bCs/>
          <w:szCs w:val="21"/>
          <w:highlight w:val="none"/>
          <w:lang w:val="zh-CN"/>
        </w:rPr>
        <w:t>人</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营业收入为</w:t>
      </w:r>
      <w:r>
        <w:rPr>
          <w:rFonts w:hint="eastAsia" w:ascii="宋体" w:hAnsi="宋体" w:eastAsia="宋体" w:cs="宋体"/>
          <w:b/>
          <w:bCs/>
          <w:szCs w:val="21"/>
          <w:highlight w:val="none"/>
          <w:u w:val="single"/>
        </w:rPr>
        <w:t>10000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资产总额为</w:t>
      </w:r>
      <w:r>
        <w:rPr>
          <w:rFonts w:hint="eastAsia" w:ascii="宋体" w:hAnsi="宋体" w:eastAsia="宋体" w:cs="宋体"/>
          <w:b/>
          <w:bCs/>
          <w:szCs w:val="21"/>
          <w:highlight w:val="none"/>
          <w:u w:val="single"/>
        </w:rPr>
        <w:t>5000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属于</w:t>
      </w:r>
      <w:r>
        <w:rPr>
          <w:rFonts w:hint="eastAsia" w:ascii="宋体" w:hAnsi="宋体" w:eastAsia="宋体" w:cs="宋体"/>
          <w:b/>
          <w:bCs/>
          <w:szCs w:val="21"/>
          <w:highlight w:val="none"/>
          <w:u w:val="single"/>
          <w:lang w:val="zh-CN"/>
        </w:rPr>
        <w:t>小型</w:t>
      </w:r>
      <w:r>
        <w:rPr>
          <w:rFonts w:hint="eastAsia" w:ascii="宋体" w:hAnsi="宋体" w:eastAsia="宋体" w:cs="宋体"/>
          <w:b/>
          <w:bCs/>
          <w:szCs w:val="21"/>
          <w:highlight w:val="none"/>
          <w:lang w:val="zh-CN"/>
        </w:rPr>
        <w:t>企业</w:t>
      </w:r>
      <w:r>
        <w:rPr>
          <w:rFonts w:hint="eastAsia" w:ascii="宋体" w:hAnsi="宋体" w:eastAsia="宋体" w:cs="宋体"/>
          <w:b/>
          <w:bCs/>
          <w:szCs w:val="21"/>
          <w:highlight w:val="none"/>
        </w:rPr>
        <w:t>[投标人自行登录工业和信息化部官网进行中小企业规模类型自测（查询网址https://www.miit.gov.cn/）]</w:t>
      </w:r>
      <w:r>
        <w:rPr>
          <w:rFonts w:hint="eastAsia" w:ascii="宋体" w:hAnsi="宋体" w:eastAsia="宋体" w:cs="宋体"/>
          <w:b/>
          <w:bCs/>
          <w:szCs w:val="21"/>
          <w:highlight w:val="none"/>
          <w:lang w:val="zh-CN"/>
        </w:rPr>
        <w:t>。</w:t>
      </w:r>
    </w:p>
    <w:p w14:paraId="177D93FC">
      <w:pPr>
        <w:rPr>
          <w:rFonts w:hint="eastAsia"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br w:type="page"/>
      </w:r>
      <w:bookmarkEnd w:id="95"/>
      <w:bookmarkEnd w:id="96"/>
    </w:p>
    <w:bookmarkEnd w:id="97"/>
    <w:bookmarkEnd w:id="98"/>
    <w:p w14:paraId="48B231EC">
      <w:pPr>
        <w:spacing w:line="360" w:lineRule="auto"/>
        <w:jc w:val="center"/>
        <w:outlineLvl w:val="1"/>
        <w:rPr>
          <w:rFonts w:hint="eastAsia" w:asciiTheme="minorEastAsia" w:hAnsiTheme="minorEastAsia" w:eastAsiaTheme="minorEastAsia"/>
          <w:b/>
          <w:sz w:val="24"/>
          <w:highlight w:val="none"/>
        </w:rPr>
      </w:pPr>
      <w:bookmarkStart w:id="99" w:name="_Toc22763"/>
      <w:r>
        <w:rPr>
          <w:rFonts w:hint="eastAsia" w:asciiTheme="minorEastAsia" w:hAnsiTheme="minorEastAsia" w:eastAsiaTheme="minorEastAsia"/>
          <w:b/>
          <w:sz w:val="24"/>
          <w:highlight w:val="none"/>
        </w:rPr>
        <w:t>八、残疾人福利性单位声明函</w:t>
      </w:r>
      <w:bookmarkEnd w:id="99"/>
    </w:p>
    <w:p w14:paraId="770245BB">
      <w:pPr>
        <w:pStyle w:val="9"/>
        <w:spacing w:line="360" w:lineRule="auto"/>
        <w:jc w:val="center"/>
        <w:rPr>
          <w:rFonts w:hint="eastAsia" w:ascii="宋体" w:hAnsi="宋体" w:eastAsia="宋体"/>
          <w:iCs/>
          <w:sz w:val="24"/>
          <w:highlight w:val="none"/>
          <w:lang w:val="en-US"/>
        </w:rPr>
      </w:pPr>
      <w:r>
        <w:rPr>
          <w:rFonts w:hint="eastAsia" w:ascii="宋体" w:hAnsi="宋体" w:eastAsia="宋体"/>
          <w:iCs/>
          <w:sz w:val="24"/>
          <w:highlight w:val="none"/>
          <w:lang w:val="en-US"/>
        </w:rPr>
        <w:t>（非残疾人福利性单位投标，请删去“残疾人福利性单位声明函”）</w:t>
      </w:r>
    </w:p>
    <w:p w14:paraId="74FDFDA3">
      <w:pPr>
        <w:spacing w:line="360" w:lineRule="auto"/>
        <w:ind w:firstLine="435"/>
        <w:rPr>
          <w:rFonts w:hint="eastAsia"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本单位</w:t>
      </w:r>
      <w:r>
        <w:rPr>
          <w:rFonts w:hint="eastAsia" w:asciiTheme="minorEastAsia" w:hAnsiTheme="minorEastAsia" w:eastAsiaTheme="minorEastAsia"/>
          <w:sz w:val="24"/>
          <w:highlight w:val="none"/>
        </w:rPr>
        <w:t>郑重</w:t>
      </w:r>
      <w:r>
        <w:rPr>
          <w:rFonts w:hint="eastAsia" w:asciiTheme="minorEastAsia" w:hAnsiTheme="minorEastAsia" w:eastAsiaTheme="minorEastAsia"/>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sz w:val="24"/>
          <w:szCs w:val="24"/>
          <w:highlight w:val="none"/>
        </w:rPr>
        <w:t>〔2017〕141</w:t>
      </w:r>
      <w:r>
        <w:rPr>
          <w:rFonts w:hint="eastAsia" w:asciiTheme="minorEastAsia" w:hAnsiTheme="minorEastAsia" w:eastAsiaTheme="minorEastAsia"/>
          <w:spacing w:val="6"/>
          <w:sz w:val="24"/>
          <w:szCs w:val="24"/>
          <w:highlight w:val="none"/>
        </w:rPr>
        <w:t>号）的规定，本单位为</w:t>
      </w:r>
      <w:r>
        <w:rPr>
          <w:rFonts w:hint="eastAsia" w:asciiTheme="minorEastAsia" w:hAnsiTheme="minorEastAsia" w:eastAsiaTheme="minorEastAsia"/>
          <w:bCs/>
          <w:sz w:val="24"/>
          <w:szCs w:val="24"/>
          <w:highlight w:val="none"/>
        </w:rPr>
        <w:t>符合</w:t>
      </w:r>
      <w:r>
        <w:rPr>
          <w:rFonts w:hint="eastAsia" w:asciiTheme="minorEastAsia" w:hAnsiTheme="minorEastAsia" w:eastAsiaTheme="minorEastAsia"/>
          <w:spacing w:val="6"/>
          <w:sz w:val="24"/>
          <w:szCs w:val="24"/>
          <w:highlight w:val="none"/>
        </w:rPr>
        <w:t>条件的残疾人福利性单位，且本单位参加</w:t>
      </w:r>
      <w:r>
        <w:rPr>
          <w:rFonts w:hint="eastAsia" w:asciiTheme="minorEastAsia" w:hAnsiTheme="minorEastAsia" w:eastAsiaTheme="minorEastAsia"/>
          <w:spacing w:val="6"/>
          <w:sz w:val="24"/>
          <w:szCs w:val="24"/>
          <w:highlight w:val="none"/>
          <w:u w:val="single"/>
        </w:rPr>
        <w:t xml:space="preserve">      </w:t>
      </w:r>
      <w:r>
        <w:rPr>
          <w:rFonts w:hint="eastAsia" w:asciiTheme="minorEastAsia" w:hAnsiTheme="minorEastAsia" w:eastAsiaTheme="minorEastAsia"/>
          <w:spacing w:val="6"/>
          <w:sz w:val="24"/>
          <w:szCs w:val="24"/>
          <w:highlight w:val="none"/>
        </w:rPr>
        <w:t>单位的</w:t>
      </w:r>
      <w:r>
        <w:rPr>
          <w:rFonts w:hint="eastAsia" w:asciiTheme="minorEastAsia" w:hAnsiTheme="minorEastAsia" w:eastAsiaTheme="minorEastAsia"/>
          <w:spacing w:val="6"/>
          <w:sz w:val="24"/>
          <w:szCs w:val="24"/>
          <w:highlight w:val="none"/>
          <w:u w:val="single"/>
        </w:rPr>
        <w:t xml:space="preserve">      </w:t>
      </w:r>
      <w:r>
        <w:rPr>
          <w:rFonts w:hint="eastAsia" w:asciiTheme="minorEastAsia" w:hAnsiTheme="minorEastAsia" w:eastAsiaTheme="minorEastAsia"/>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476E3507">
      <w:pPr>
        <w:spacing w:line="360" w:lineRule="auto"/>
        <w:ind w:firstLine="435"/>
        <w:rPr>
          <w:rFonts w:hint="eastAsia"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本单位对上述声明的真实性负责。如有虚假，将依法承担相应责任。</w:t>
      </w:r>
    </w:p>
    <w:p w14:paraId="5592F42A">
      <w:pPr>
        <w:spacing w:line="360" w:lineRule="auto"/>
        <w:ind w:firstLine="4228" w:firstLineChars="1762"/>
        <w:rPr>
          <w:rFonts w:hint="eastAsia" w:asciiTheme="minorEastAsia" w:hAnsiTheme="minorEastAsia" w:eastAsiaTheme="minorEastAsia"/>
          <w:sz w:val="24"/>
          <w:szCs w:val="24"/>
          <w:highlight w:val="none"/>
        </w:rPr>
      </w:pPr>
    </w:p>
    <w:p w14:paraId="41D29533">
      <w:pPr>
        <w:spacing w:line="360" w:lineRule="auto"/>
        <w:ind w:firstLine="4228" w:firstLineChars="1762"/>
        <w:rPr>
          <w:rFonts w:hint="eastAsia" w:asciiTheme="minorEastAsia" w:hAnsiTheme="minorEastAsia" w:eastAsiaTheme="minorEastAsia"/>
          <w:sz w:val="24"/>
          <w:szCs w:val="24"/>
          <w:highlight w:val="none"/>
        </w:rPr>
      </w:pPr>
    </w:p>
    <w:p w14:paraId="0D2A88BA">
      <w:pPr>
        <w:spacing w:line="360" w:lineRule="auto"/>
        <w:ind w:firstLine="4228" w:firstLineChars="1762"/>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w:t>
      </w:r>
      <w:r>
        <w:rPr>
          <w:rFonts w:hint="eastAsia" w:asciiTheme="minorEastAsia" w:hAnsiTheme="minorEastAsia" w:eastAsiaTheme="minorEastAsia"/>
          <w:sz w:val="24"/>
          <w:szCs w:val="24"/>
          <w:highlight w:val="none"/>
          <w:lang w:eastAsia="zh-CN"/>
        </w:rPr>
        <w:t>公章</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u w:val="single"/>
        </w:rPr>
        <w:t xml:space="preserve">             </w:t>
      </w:r>
    </w:p>
    <w:p w14:paraId="444F68E1">
      <w:pPr>
        <w:tabs>
          <w:tab w:val="left" w:pos="4620"/>
        </w:tabs>
        <w:spacing w:line="360" w:lineRule="auto"/>
        <w:ind w:firstLine="4252" w:firstLineChars="1772"/>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 xml:space="preserve">   期：</w:t>
      </w:r>
      <w:r>
        <w:rPr>
          <w:rFonts w:asciiTheme="minorEastAsia" w:hAnsiTheme="minorEastAsia" w:eastAsiaTheme="minorEastAsia"/>
          <w:sz w:val="24"/>
          <w:szCs w:val="24"/>
          <w:highlight w:val="none"/>
          <w:u w:val="single"/>
        </w:rPr>
        <w:t xml:space="preserve">             </w:t>
      </w:r>
    </w:p>
    <w:p w14:paraId="0CED36DF">
      <w:pPr>
        <w:wordWrap w:val="0"/>
        <w:spacing w:before="100" w:beforeAutospacing="1" w:after="100" w:afterAutospacing="1"/>
        <w:jc w:val="center"/>
        <w:rPr>
          <w:rFonts w:hint="eastAsia" w:ascii="宋体" w:hAnsi="宋体" w:eastAsia="宋体" w:cs="宋体"/>
          <w:b/>
          <w:sz w:val="28"/>
          <w:szCs w:val="28"/>
          <w:highlight w:val="none"/>
        </w:rPr>
      </w:pPr>
    </w:p>
    <w:p w14:paraId="64D197BA">
      <w:pPr>
        <w:wordWrap w:val="0"/>
        <w:spacing w:before="100" w:beforeAutospacing="1" w:after="100" w:afterAutospacing="1"/>
        <w:jc w:val="center"/>
        <w:rPr>
          <w:rFonts w:hint="eastAsia" w:ascii="宋体" w:hAnsi="宋体" w:eastAsia="宋体" w:cs="宋体"/>
          <w:b/>
          <w:sz w:val="28"/>
          <w:szCs w:val="28"/>
          <w:highlight w:val="none"/>
        </w:rPr>
      </w:pPr>
    </w:p>
    <w:p w14:paraId="1D9CE695">
      <w:pPr>
        <w:wordWrap w:val="0"/>
        <w:spacing w:before="100" w:beforeAutospacing="1" w:after="100" w:afterAutospacing="1"/>
        <w:jc w:val="center"/>
        <w:rPr>
          <w:rFonts w:hint="eastAsia" w:ascii="宋体" w:hAnsi="宋体" w:eastAsia="宋体" w:cs="宋体"/>
          <w:b/>
          <w:sz w:val="28"/>
          <w:szCs w:val="28"/>
          <w:highlight w:val="none"/>
        </w:rPr>
      </w:pPr>
    </w:p>
    <w:p w14:paraId="40E1BC47">
      <w:pPr>
        <w:wordWrap w:val="0"/>
        <w:spacing w:before="100" w:beforeAutospacing="1" w:after="100" w:afterAutospacing="1"/>
        <w:jc w:val="center"/>
        <w:rPr>
          <w:rFonts w:hint="eastAsia" w:ascii="宋体" w:hAnsi="宋体" w:eastAsia="宋体" w:cs="宋体"/>
          <w:b/>
          <w:sz w:val="28"/>
          <w:szCs w:val="28"/>
          <w:highlight w:val="none"/>
        </w:rPr>
      </w:pPr>
    </w:p>
    <w:p w14:paraId="68A7ADB6">
      <w:pPr>
        <w:wordWrap w:val="0"/>
        <w:spacing w:before="100" w:beforeAutospacing="1" w:after="100" w:afterAutospacing="1"/>
        <w:jc w:val="center"/>
        <w:rPr>
          <w:rFonts w:hint="eastAsia" w:ascii="宋体" w:hAnsi="宋体" w:eastAsia="宋体" w:cs="宋体"/>
          <w:b/>
          <w:sz w:val="28"/>
          <w:szCs w:val="28"/>
          <w:highlight w:val="none"/>
        </w:rPr>
      </w:pPr>
    </w:p>
    <w:p w14:paraId="51DA7FCE">
      <w:pPr>
        <w:wordWrap w:val="0"/>
        <w:spacing w:before="100" w:beforeAutospacing="1" w:after="100" w:afterAutospacing="1"/>
        <w:jc w:val="center"/>
        <w:rPr>
          <w:rFonts w:hint="eastAsia" w:ascii="宋体" w:hAnsi="宋体" w:eastAsia="宋体" w:cs="宋体"/>
          <w:b/>
          <w:sz w:val="28"/>
          <w:szCs w:val="28"/>
          <w:highlight w:val="none"/>
        </w:rPr>
      </w:pPr>
    </w:p>
    <w:p w14:paraId="0F87A6B2">
      <w:pPr>
        <w:wordWrap w:val="0"/>
        <w:spacing w:before="100" w:beforeAutospacing="1" w:after="100" w:afterAutospacing="1"/>
        <w:jc w:val="center"/>
        <w:rPr>
          <w:rFonts w:hint="eastAsia" w:ascii="宋体" w:hAnsi="宋体" w:eastAsia="宋体" w:cs="宋体"/>
          <w:b/>
          <w:sz w:val="28"/>
          <w:szCs w:val="28"/>
          <w:highlight w:val="none"/>
        </w:rPr>
      </w:pPr>
    </w:p>
    <w:p w14:paraId="11BC6F90">
      <w:pPr>
        <w:wordWrap w:val="0"/>
        <w:spacing w:before="100" w:beforeAutospacing="1" w:after="100" w:afterAutospacing="1"/>
        <w:jc w:val="center"/>
        <w:rPr>
          <w:rFonts w:hint="eastAsia" w:ascii="宋体" w:hAnsi="宋体" w:eastAsia="宋体" w:cs="宋体"/>
          <w:b/>
          <w:sz w:val="28"/>
          <w:szCs w:val="28"/>
          <w:highlight w:val="none"/>
        </w:rPr>
      </w:pPr>
    </w:p>
    <w:p w14:paraId="4D0CD74D">
      <w:pPr>
        <w:wordWrap w:val="0"/>
        <w:spacing w:before="100" w:beforeAutospacing="1" w:after="100" w:afterAutospacing="1"/>
        <w:jc w:val="center"/>
        <w:rPr>
          <w:rFonts w:hint="eastAsia" w:ascii="宋体" w:hAnsi="宋体" w:eastAsia="宋体" w:cs="宋体"/>
          <w:b/>
          <w:sz w:val="28"/>
          <w:szCs w:val="28"/>
          <w:highlight w:val="none"/>
        </w:rPr>
      </w:pPr>
    </w:p>
    <w:p w14:paraId="53ADCADA">
      <w:pPr>
        <w:pageBreakBefore/>
        <w:spacing w:line="360" w:lineRule="auto"/>
        <w:jc w:val="center"/>
        <w:outlineLvl w:val="1"/>
        <w:rPr>
          <w:rFonts w:hint="eastAsia" w:asciiTheme="minorEastAsia" w:hAnsiTheme="minorEastAsia" w:eastAsiaTheme="minorEastAsia"/>
          <w:b/>
          <w:sz w:val="24"/>
          <w:highlight w:val="none"/>
        </w:rPr>
      </w:pPr>
      <w:bookmarkStart w:id="100" w:name="_Toc457768004"/>
      <w:bookmarkStart w:id="101" w:name="_Toc300210382"/>
      <w:bookmarkStart w:id="102" w:name="_Toc520299348"/>
      <w:bookmarkStart w:id="103" w:name="_Toc15299"/>
      <w:bookmarkStart w:id="104" w:name="_Toc26536"/>
      <w:bookmarkStart w:id="105" w:name="_Toc25813"/>
      <w:bookmarkStart w:id="106" w:name="_Hlk11701496"/>
      <w:r>
        <w:rPr>
          <w:rFonts w:hint="eastAsia" w:asciiTheme="minorEastAsia" w:hAnsiTheme="minorEastAsia" w:eastAsiaTheme="minorEastAsia"/>
          <w:b/>
          <w:sz w:val="24"/>
          <w:highlight w:val="none"/>
        </w:rPr>
        <w:t>九、</w:t>
      </w:r>
      <w:bookmarkEnd w:id="100"/>
      <w:bookmarkEnd w:id="101"/>
      <w:bookmarkEnd w:id="102"/>
      <w:r>
        <w:rPr>
          <w:rFonts w:hint="eastAsia" w:asciiTheme="minorEastAsia" w:hAnsiTheme="minorEastAsia" w:eastAsiaTheme="minorEastAsia"/>
          <w:b/>
          <w:sz w:val="24"/>
          <w:highlight w:val="none"/>
        </w:rPr>
        <w:t>诚信履约承诺函</w:t>
      </w:r>
      <w:bookmarkEnd w:id="103"/>
      <w:bookmarkEnd w:id="104"/>
      <w:bookmarkEnd w:id="105"/>
    </w:p>
    <w:p w14:paraId="6D478A69">
      <w:pPr>
        <w:spacing w:line="360" w:lineRule="auto"/>
        <w:rPr>
          <w:rFonts w:hint="eastAsia" w:asciiTheme="minorEastAsia" w:hAnsiTheme="minorEastAsia" w:eastAsiaTheme="minorEastAsia"/>
          <w:b/>
          <w:bCs/>
          <w:sz w:val="24"/>
          <w:highlight w:val="none"/>
        </w:rPr>
      </w:pPr>
    </w:p>
    <w:p w14:paraId="06442A06">
      <w:pPr>
        <w:spacing w:line="360" w:lineRule="auto"/>
        <w:rPr>
          <w:rFonts w:hint="eastAsia" w:asciiTheme="minorEastAsia" w:hAnsiTheme="minorEastAsia" w:eastAsiaTheme="minorEastAsia"/>
          <w:b/>
          <w:bCs/>
          <w:sz w:val="24"/>
          <w:highlight w:val="none"/>
          <w:u w:val="single"/>
        </w:rPr>
      </w:pPr>
      <w:r>
        <w:rPr>
          <w:rFonts w:hint="eastAsia" w:asciiTheme="minorEastAsia" w:hAnsiTheme="minorEastAsia" w:eastAsiaTheme="minorEastAsia"/>
          <w:b/>
          <w:bCs/>
          <w:sz w:val="24"/>
          <w:highlight w:val="none"/>
        </w:rPr>
        <w:t>致：采购人</w:t>
      </w:r>
    </w:p>
    <w:p w14:paraId="204AC443">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7732263">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（1）中标或者成交后无正当理由拒不与采购人签订政府采购合同；</w:t>
      </w:r>
    </w:p>
    <w:p w14:paraId="7F6DD29E">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（2）未按照采购文件确定的事项签订政府采购合同；</w:t>
      </w:r>
    </w:p>
    <w:p w14:paraId="255F4E95">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（3）将政府采购合同转包；</w:t>
      </w:r>
    </w:p>
    <w:p w14:paraId="6868243A">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（4）提供假冒伪劣产品；</w:t>
      </w:r>
    </w:p>
    <w:p w14:paraId="08BCC94B">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（5）擅自变更、中止或者终止政府采购合同。</w:t>
      </w:r>
    </w:p>
    <w:p w14:paraId="7E4643C8">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894A87D">
      <w:pPr>
        <w:spacing w:line="360" w:lineRule="auto"/>
        <w:rPr>
          <w:rFonts w:hint="eastAsia" w:asciiTheme="minorEastAsia" w:hAnsiTheme="minorEastAsia" w:eastAsiaTheme="minorEastAsia"/>
          <w:bCs/>
          <w:sz w:val="24"/>
          <w:highlight w:val="none"/>
        </w:rPr>
      </w:pPr>
    </w:p>
    <w:p w14:paraId="19B6E560">
      <w:pPr>
        <w:spacing w:line="360" w:lineRule="auto"/>
        <w:rPr>
          <w:rFonts w:hint="eastAsia" w:asciiTheme="minorEastAsia" w:hAnsiTheme="minorEastAsia" w:eastAsiaTheme="minorEastAsia"/>
          <w:bCs/>
          <w:sz w:val="24"/>
          <w:highlight w:val="none"/>
        </w:rPr>
      </w:pPr>
    </w:p>
    <w:p w14:paraId="2AF4B646">
      <w:pPr>
        <w:spacing w:line="360" w:lineRule="auto"/>
        <w:ind w:firstLine="4320" w:firstLineChars="1800"/>
        <w:rPr>
          <w:rFonts w:hint="eastAsia"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投标人</w:t>
      </w:r>
      <w:r>
        <w:rPr>
          <w:rFonts w:hint="eastAsia" w:asciiTheme="minorEastAsia" w:hAnsiTheme="minorEastAsia" w:eastAsiaTheme="minorEastAsia"/>
          <w:bCs/>
          <w:sz w:val="24"/>
          <w:highlight w:val="none"/>
          <w:lang w:eastAsia="zh-CN"/>
        </w:rPr>
        <w:t>公章</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0235F10C">
      <w:pPr>
        <w:spacing w:line="360" w:lineRule="auto"/>
        <w:ind w:firstLine="4320" w:firstLineChars="18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p w14:paraId="020EEB52">
      <w:pPr>
        <w:widowControl/>
        <w:jc w:val="left"/>
        <w:rPr>
          <w:rFonts w:hint="eastAsia" w:ascii="宋体" w:hAnsi="宋体" w:eastAsia="宋体" w:cs="Arial"/>
          <w:sz w:val="24"/>
          <w:highlight w:val="none"/>
        </w:rPr>
      </w:pPr>
      <w:r>
        <w:rPr>
          <w:rFonts w:ascii="宋体" w:hAnsi="宋体" w:eastAsia="宋体" w:cs="Arial"/>
          <w:sz w:val="24"/>
          <w:highlight w:val="none"/>
        </w:rPr>
        <w:br w:type="page"/>
      </w:r>
    </w:p>
    <w:bookmarkEnd w:id="106"/>
    <w:p w14:paraId="0DDE7709">
      <w:pPr>
        <w:spacing w:line="360" w:lineRule="auto"/>
        <w:jc w:val="center"/>
        <w:outlineLvl w:val="1"/>
        <w:rPr>
          <w:rFonts w:hint="eastAsia" w:asciiTheme="minorEastAsia" w:hAnsiTheme="minorEastAsia" w:eastAsiaTheme="minorEastAsia"/>
          <w:b/>
          <w:sz w:val="24"/>
          <w:highlight w:val="none"/>
        </w:rPr>
      </w:pPr>
      <w:bookmarkStart w:id="107" w:name="_Toc2683"/>
      <w:bookmarkStart w:id="108" w:name="_Toc32633"/>
      <w:bookmarkStart w:id="109" w:name="_Toc833"/>
      <w:r>
        <w:rPr>
          <w:rFonts w:hint="eastAsia" w:asciiTheme="minorEastAsia" w:hAnsiTheme="minorEastAsia" w:eastAsiaTheme="minorEastAsia"/>
          <w:b/>
          <w:sz w:val="24"/>
          <w:highlight w:val="none"/>
        </w:rPr>
        <w:t>十、其他相关证明材料</w:t>
      </w:r>
      <w:bookmarkEnd w:id="107"/>
      <w:bookmarkEnd w:id="108"/>
      <w:bookmarkEnd w:id="109"/>
    </w:p>
    <w:p w14:paraId="243E9B2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提供符合投标邀请、采购需求及评标方法和标准规定的相关证明文件。</w:t>
      </w:r>
    </w:p>
    <w:p w14:paraId="39081932">
      <w:pPr>
        <w:spacing w:line="360" w:lineRule="auto"/>
        <w:ind w:firstLine="480" w:firstLineChars="200"/>
        <w:rPr>
          <w:rFonts w:hint="eastAsia" w:asciiTheme="minorEastAsia" w:hAnsiTheme="minorEastAsia" w:eastAsiaTheme="minorEastAsia"/>
          <w:sz w:val="24"/>
          <w:highlight w:val="none"/>
        </w:rPr>
      </w:pPr>
    </w:p>
    <w:p w14:paraId="7A15242D">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特别提示：</w:t>
      </w:r>
    </w:p>
    <w:p w14:paraId="385686A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投标人在投标文件制作时可在此栏内</w:t>
      </w:r>
      <w:r>
        <w:rPr>
          <w:rFonts w:hint="eastAsia" w:asciiTheme="minorEastAsia" w:hAnsiTheme="minorEastAsia" w:eastAsiaTheme="minorEastAsia"/>
          <w:sz w:val="24"/>
          <w:highlight w:val="none"/>
          <w:lang w:eastAsia="zh-CN"/>
        </w:rPr>
        <w:t>附</w:t>
      </w:r>
      <w:r>
        <w:rPr>
          <w:rFonts w:asciiTheme="minorEastAsia" w:hAnsiTheme="minorEastAsia" w:eastAsiaTheme="minorEastAsia"/>
          <w:sz w:val="24"/>
          <w:highlight w:val="none"/>
        </w:rPr>
        <w:t>招标文件要求的证明资料</w:t>
      </w:r>
      <w:r>
        <w:rPr>
          <w:rFonts w:hint="eastAsia" w:asciiTheme="minorEastAsia" w:hAnsiTheme="minorEastAsia" w:eastAsiaTheme="minorEastAsia"/>
          <w:sz w:val="24"/>
          <w:highlight w:val="none"/>
        </w:rPr>
        <w:t>，如营业执照、证书</w:t>
      </w:r>
      <w:r>
        <w:rPr>
          <w:rFonts w:asciiTheme="minorEastAsia" w:hAnsiTheme="minorEastAsia" w:eastAsiaTheme="minorEastAsia"/>
          <w:sz w:val="24"/>
          <w:highlight w:val="none"/>
        </w:rPr>
        <w:t>等，应将上述证明材料</w:t>
      </w:r>
      <w:r>
        <w:rPr>
          <w:rFonts w:hint="eastAsia" w:asciiTheme="minorEastAsia" w:hAnsiTheme="minorEastAsia" w:eastAsiaTheme="minorEastAsia"/>
          <w:sz w:val="24"/>
          <w:highlight w:val="none"/>
          <w:lang w:eastAsia="zh-CN"/>
        </w:rPr>
        <w:t>按顺序制作</w:t>
      </w:r>
      <w:r>
        <w:rPr>
          <w:rFonts w:asciiTheme="minorEastAsia" w:hAnsiTheme="minorEastAsia" w:eastAsiaTheme="minorEastAsia"/>
          <w:sz w:val="24"/>
          <w:highlight w:val="none"/>
        </w:rPr>
        <w:t>。</w:t>
      </w:r>
    </w:p>
    <w:p w14:paraId="041F0274">
      <w:pPr>
        <w:widowControl/>
        <w:jc w:val="left"/>
        <w:rPr>
          <w:rFonts w:hint="eastAsia" w:ascii="宋体" w:hAnsi="宋体" w:eastAsia="宋体"/>
          <w:bCs/>
          <w:sz w:val="24"/>
          <w:highlight w:val="none"/>
        </w:rPr>
      </w:pPr>
      <w:r>
        <w:rPr>
          <w:rFonts w:ascii="宋体" w:hAnsi="宋体" w:eastAsia="宋体"/>
          <w:bCs/>
          <w:sz w:val="24"/>
          <w:highlight w:val="none"/>
        </w:rPr>
        <w:br w:type="page"/>
      </w:r>
    </w:p>
    <w:p w14:paraId="2E7987EE">
      <w:pPr>
        <w:spacing w:line="360" w:lineRule="auto"/>
        <w:jc w:val="center"/>
        <w:outlineLvl w:val="0"/>
        <w:rPr>
          <w:rFonts w:hint="eastAsia" w:ascii="宋体" w:hAnsi="宋体" w:eastAsia="宋体"/>
          <w:b/>
          <w:bCs/>
          <w:sz w:val="28"/>
          <w:highlight w:val="none"/>
        </w:rPr>
      </w:pPr>
      <w:bookmarkStart w:id="110" w:name="_Toc6435"/>
      <w:bookmarkStart w:id="111" w:name="_Toc23205"/>
      <w:r>
        <w:rPr>
          <w:rFonts w:hint="eastAsia" w:asciiTheme="minorEastAsia" w:hAnsiTheme="minorEastAsia" w:eastAsiaTheme="minorEastAsia"/>
          <w:b/>
          <w:sz w:val="28"/>
          <w:highlight w:val="none"/>
        </w:rPr>
        <w:t>第七章</w:t>
      </w:r>
      <w:r>
        <w:rPr>
          <w:rFonts w:hint="eastAsia" w:ascii="宋体" w:hAnsi="宋体" w:eastAsia="宋体"/>
          <w:b/>
          <w:bCs/>
          <w:sz w:val="28"/>
          <w:highlight w:val="none"/>
        </w:rPr>
        <w:t xml:space="preserve">  政府采购</w:t>
      </w:r>
      <w:r>
        <w:rPr>
          <w:rFonts w:hint="eastAsia" w:asciiTheme="minorEastAsia" w:hAnsiTheme="minorEastAsia" w:eastAsiaTheme="minorEastAsia"/>
          <w:b/>
          <w:sz w:val="28"/>
          <w:highlight w:val="none"/>
        </w:rPr>
        <w:t>供应</w:t>
      </w:r>
      <w:r>
        <w:rPr>
          <w:rFonts w:hint="eastAsia" w:ascii="宋体" w:hAnsi="宋体" w:eastAsia="宋体"/>
          <w:b/>
          <w:bCs/>
          <w:sz w:val="28"/>
          <w:highlight w:val="none"/>
        </w:rPr>
        <w:t>商询问函和质疑函范本</w:t>
      </w:r>
      <w:bookmarkEnd w:id="110"/>
      <w:bookmarkEnd w:id="111"/>
    </w:p>
    <w:p w14:paraId="5F13D68C">
      <w:pPr>
        <w:spacing w:line="360" w:lineRule="auto"/>
        <w:jc w:val="center"/>
        <w:outlineLvl w:val="1"/>
        <w:rPr>
          <w:rFonts w:hint="eastAsia" w:ascii="仿宋" w:hAnsi="仿宋" w:eastAsia="仿宋" w:cs="仿宋"/>
          <w:b/>
          <w:bCs/>
          <w:sz w:val="32"/>
          <w:szCs w:val="44"/>
          <w:highlight w:val="none"/>
        </w:rPr>
      </w:pPr>
      <w:bookmarkStart w:id="112" w:name="_Toc4374"/>
      <w:r>
        <w:rPr>
          <w:rFonts w:hint="eastAsia" w:ascii="仿宋" w:hAnsi="仿宋" w:eastAsia="仿宋" w:cs="仿宋"/>
          <w:b/>
          <w:bCs/>
          <w:sz w:val="32"/>
          <w:szCs w:val="44"/>
          <w:highlight w:val="none"/>
        </w:rPr>
        <w:t>询问函范本</w:t>
      </w:r>
      <w:bookmarkEnd w:id="112"/>
    </w:p>
    <w:p w14:paraId="77D8076E">
      <w:pPr>
        <w:adjustRightInd w:val="0"/>
        <w:snapToGrid w:val="0"/>
        <w:spacing w:line="360" w:lineRule="auto"/>
        <w:ind w:firstLine="480" w:firstLineChars="200"/>
        <w:jc w:val="center"/>
        <w:rPr>
          <w:rFonts w:hint="eastAsia" w:ascii="仿宋" w:hAnsi="仿宋" w:eastAsia="仿宋" w:cs="仿宋"/>
          <w:b/>
          <w:bCs/>
          <w:sz w:val="32"/>
          <w:szCs w:val="44"/>
          <w:highlight w:val="none"/>
        </w:rPr>
      </w:pPr>
      <w:r>
        <w:rPr>
          <w:rFonts w:hint="eastAsia" w:cs="仿宋" w:asciiTheme="minorEastAsia" w:hAnsiTheme="minorEastAsia" w:eastAsiaTheme="minorEastAsia"/>
          <w:i/>
          <w:iCs/>
          <w:sz w:val="24"/>
          <w:szCs w:val="24"/>
          <w:highlight w:val="none"/>
        </w:rPr>
        <w:t>（如为对采购文件或采购程序的询问或疑问，请按询问函范本或电子交易系统中网上询问格式附件进行提交）</w:t>
      </w:r>
    </w:p>
    <w:p w14:paraId="01D9A5C0">
      <w:pPr>
        <w:adjustRightInd w:val="0"/>
        <w:snapToGrid w:val="0"/>
        <w:spacing w:line="360" w:lineRule="auto"/>
        <w:rPr>
          <w:rFonts w:hint="eastAsia" w:cs="仿宋" w:asciiTheme="minorEastAsia" w:hAnsiTheme="minorEastAsia" w:eastAsiaTheme="minorEastAsia"/>
          <w:b/>
          <w:bCs/>
          <w:sz w:val="24"/>
          <w:szCs w:val="24"/>
          <w:highlight w:val="none"/>
          <w:u w:val="single"/>
        </w:rPr>
      </w:pPr>
      <w:r>
        <w:rPr>
          <w:rFonts w:hint="eastAsia" w:cs="仿宋" w:asciiTheme="minorEastAsia" w:hAnsiTheme="minorEastAsia" w:eastAsiaTheme="minorEastAsia"/>
          <w:b/>
          <w:bCs/>
          <w:sz w:val="24"/>
          <w:szCs w:val="24"/>
          <w:highlight w:val="none"/>
        </w:rPr>
        <w:t>致：采购人</w:t>
      </w:r>
    </w:p>
    <w:p w14:paraId="38D4222E">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我单位拟参与</w:t>
      </w:r>
      <w:r>
        <w:rPr>
          <w:rFonts w:hint="eastAsia" w:cs="仿宋" w:asciiTheme="minorEastAsia" w:hAnsiTheme="minorEastAsia" w:eastAsiaTheme="minorEastAsia"/>
          <w:sz w:val="24"/>
          <w:szCs w:val="24"/>
          <w:highlight w:val="none"/>
          <w:u w:val="single"/>
        </w:rPr>
        <w:t xml:space="preserve">           </w:t>
      </w: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i/>
          <w:iCs/>
          <w:sz w:val="24"/>
          <w:szCs w:val="24"/>
          <w:highlight w:val="none"/>
        </w:rPr>
        <w:t>项目名称、编号</w:t>
      </w:r>
      <w:r>
        <w:rPr>
          <w:rFonts w:hint="eastAsia" w:cs="仿宋" w:asciiTheme="minorEastAsia" w:hAnsiTheme="minorEastAsia" w:eastAsiaTheme="minorEastAsia"/>
          <w:sz w:val="24"/>
          <w:szCs w:val="24"/>
          <w:highlight w:val="none"/>
        </w:rPr>
        <w:t>）的采购活动，现有以下内容(或条款)存在疑问(或无法理解)，特提出询问。</w:t>
      </w:r>
    </w:p>
    <w:p w14:paraId="6F54844E">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一、(事项一)</w:t>
      </w:r>
    </w:p>
    <w:p w14:paraId="0BBABB46">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1、(内容或条款)</w:t>
      </w:r>
    </w:p>
    <w:p w14:paraId="616D861A">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2、(说明疑问或无法理解原因)</w:t>
      </w:r>
    </w:p>
    <w:p w14:paraId="735874C0">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3、(建议)</w:t>
      </w:r>
    </w:p>
    <w:p w14:paraId="5BA67C57">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二、(事项二)</w:t>
      </w:r>
    </w:p>
    <w:p w14:paraId="556925DA">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377D5B69">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随附相关证明材料如下： </w:t>
      </w:r>
    </w:p>
    <w:p w14:paraId="1B33EDE1">
      <w:pPr>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 系 人：</w:t>
      </w:r>
      <w:r>
        <w:rPr>
          <w:rFonts w:hint="eastAsia" w:asciiTheme="minorEastAsia" w:hAnsiTheme="minorEastAsia" w:eastAsiaTheme="minorEastAsia"/>
          <w:sz w:val="24"/>
          <w:highlight w:val="none"/>
          <w:u w:val="single"/>
        </w:rPr>
        <w:t xml:space="preserve">              </w:t>
      </w:r>
    </w:p>
    <w:p w14:paraId="0746F141">
      <w:pPr>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联系电话：</w:t>
      </w:r>
      <w:r>
        <w:rPr>
          <w:rFonts w:hint="eastAsia" w:asciiTheme="minorEastAsia" w:hAnsiTheme="minorEastAsia" w:eastAsiaTheme="minorEastAsia"/>
          <w:sz w:val="24"/>
          <w:highlight w:val="none"/>
          <w:u w:val="single"/>
        </w:rPr>
        <w:t xml:space="preserve">              </w:t>
      </w:r>
    </w:p>
    <w:p w14:paraId="28CA5C27">
      <w:pPr>
        <w:tabs>
          <w:tab w:val="left" w:pos="630"/>
        </w:tabs>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日    期：</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20BFCECF">
      <w:pPr>
        <w:wordWrap w:val="0"/>
        <w:spacing w:before="100" w:beforeAutospacing="1" w:after="100" w:afterAutospacing="1"/>
        <w:jc w:val="center"/>
        <w:rPr>
          <w:rFonts w:hint="eastAsia" w:ascii="宋体" w:hAnsi="宋体" w:eastAsia="宋体" w:cs="宋体"/>
          <w:b/>
          <w:sz w:val="28"/>
          <w:szCs w:val="28"/>
          <w:highlight w:val="none"/>
        </w:rPr>
      </w:pPr>
    </w:p>
    <w:p w14:paraId="3CE26782">
      <w:pPr>
        <w:wordWrap w:val="0"/>
        <w:spacing w:before="100" w:beforeAutospacing="1" w:after="100" w:afterAutospacing="1"/>
        <w:jc w:val="center"/>
        <w:rPr>
          <w:rFonts w:hint="eastAsia" w:ascii="宋体" w:hAnsi="宋体" w:eastAsia="宋体" w:cs="宋体"/>
          <w:b/>
          <w:sz w:val="28"/>
          <w:szCs w:val="28"/>
          <w:highlight w:val="none"/>
        </w:rPr>
      </w:pPr>
    </w:p>
    <w:p w14:paraId="266B70E1">
      <w:pPr>
        <w:wordWrap w:val="0"/>
        <w:spacing w:before="100" w:beforeAutospacing="1" w:after="100" w:afterAutospacing="1"/>
        <w:jc w:val="center"/>
        <w:rPr>
          <w:rFonts w:hint="eastAsia" w:ascii="宋体" w:hAnsi="宋体" w:eastAsia="宋体" w:cs="宋体"/>
          <w:b/>
          <w:sz w:val="28"/>
          <w:szCs w:val="28"/>
          <w:highlight w:val="none"/>
        </w:rPr>
      </w:pPr>
    </w:p>
    <w:p w14:paraId="5A7534DA">
      <w:pPr>
        <w:wordWrap w:val="0"/>
        <w:spacing w:before="100" w:beforeAutospacing="1" w:after="100" w:afterAutospacing="1"/>
        <w:jc w:val="center"/>
        <w:rPr>
          <w:rFonts w:hint="eastAsia" w:ascii="宋体" w:hAnsi="宋体" w:eastAsia="宋体" w:cs="宋体"/>
          <w:b/>
          <w:sz w:val="28"/>
          <w:szCs w:val="28"/>
          <w:highlight w:val="none"/>
        </w:rPr>
      </w:pPr>
    </w:p>
    <w:p w14:paraId="7E602698">
      <w:pPr>
        <w:wordWrap w:val="0"/>
        <w:spacing w:before="100" w:beforeAutospacing="1" w:after="100" w:afterAutospacing="1"/>
        <w:jc w:val="center"/>
        <w:rPr>
          <w:rFonts w:hint="eastAsia" w:ascii="宋体" w:hAnsi="宋体" w:eastAsia="宋体" w:cs="宋体"/>
          <w:b/>
          <w:sz w:val="28"/>
          <w:szCs w:val="28"/>
          <w:highlight w:val="none"/>
        </w:rPr>
      </w:pPr>
    </w:p>
    <w:p w14:paraId="043ADD79">
      <w:pPr>
        <w:wordWrap w:val="0"/>
        <w:spacing w:before="100" w:beforeAutospacing="1" w:after="100" w:afterAutospacing="1"/>
        <w:jc w:val="center"/>
        <w:rPr>
          <w:rFonts w:hint="eastAsia" w:ascii="宋体" w:hAnsi="宋体" w:eastAsia="宋体" w:cs="宋体"/>
          <w:b/>
          <w:sz w:val="28"/>
          <w:szCs w:val="28"/>
          <w:highlight w:val="none"/>
        </w:rPr>
      </w:pPr>
    </w:p>
    <w:p w14:paraId="57BE7C02">
      <w:pPr>
        <w:wordWrap w:val="0"/>
        <w:spacing w:before="100" w:beforeAutospacing="1" w:after="100" w:afterAutospacing="1"/>
        <w:jc w:val="center"/>
        <w:rPr>
          <w:rFonts w:hint="eastAsia" w:ascii="宋体" w:hAnsi="宋体" w:eastAsia="宋体" w:cs="宋体"/>
          <w:b/>
          <w:sz w:val="28"/>
          <w:szCs w:val="28"/>
          <w:highlight w:val="none"/>
        </w:rPr>
      </w:pPr>
    </w:p>
    <w:p w14:paraId="0F823C14">
      <w:pPr>
        <w:jc w:val="center"/>
        <w:outlineLvl w:val="1"/>
        <w:rPr>
          <w:rFonts w:hint="eastAsia" w:ascii="仿宋" w:hAnsi="仿宋" w:eastAsia="仿宋" w:cs="仿宋"/>
          <w:b/>
          <w:bCs/>
          <w:sz w:val="32"/>
          <w:szCs w:val="44"/>
          <w:highlight w:val="none"/>
        </w:rPr>
      </w:pPr>
      <w:bookmarkStart w:id="113" w:name="_Toc9565"/>
      <w:r>
        <w:rPr>
          <w:rFonts w:hint="eastAsia" w:ascii="仿宋" w:hAnsi="仿宋" w:eastAsia="仿宋" w:cs="仿宋"/>
          <w:b/>
          <w:bCs/>
          <w:sz w:val="32"/>
          <w:szCs w:val="44"/>
          <w:highlight w:val="none"/>
        </w:rPr>
        <w:t>质疑函范本</w:t>
      </w:r>
      <w:bookmarkEnd w:id="113"/>
    </w:p>
    <w:p w14:paraId="2D60012B">
      <w:pPr>
        <w:adjustRightInd w:val="0"/>
        <w:snapToGrid w:val="0"/>
        <w:spacing w:before="312" w:beforeLines="100" w:line="360" w:lineRule="auto"/>
        <w:rPr>
          <w:rFonts w:hint="eastAsia"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一、质疑供应商基本信息</w:t>
      </w:r>
    </w:p>
    <w:p w14:paraId="66110C04">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质疑供应商：</w:t>
      </w:r>
      <w:r>
        <w:rPr>
          <w:rFonts w:hint="eastAsia" w:cs="仿宋" w:asciiTheme="minorEastAsia" w:hAnsiTheme="minorEastAsia" w:eastAsiaTheme="minorEastAsia"/>
          <w:sz w:val="24"/>
          <w:szCs w:val="24"/>
          <w:highlight w:val="none"/>
          <w:u w:val="dotted"/>
        </w:rPr>
        <w:t xml:space="preserve">                                        </w:t>
      </w:r>
    </w:p>
    <w:p w14:paraId="0E682E4D">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153CFDBC">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联系人：</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p>
    <w:p w14:paraId="2E846E31">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授权代表：</w:t>
      </w:r>
      <w:r>
        <w:rPr>
          <w:rFonts w:hint="eastAsia" w:cs="仿宋" w:asciiTheme="minorEastAsia" w:hAnsiTheme="minorEastAsia" w:eastAsiaTheme="minorEastAsia"/>
          <w:sz w:val="24"/>
          <w:szCs w:val="24"/>
          <w:highlight w:val="none"/>
          <w:u w:val="dotted"/>
        </w:rPr>
        <w:t xml:space="preserve">                                          </w:t>
      </w:r>
    </w:p>
    <w:p w14:paraId="22163B4F">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r>
        <w:rPr>
          <w:rFonts w:cs="仿宋" w:asciiTheme="minorEastAsia" w:hAnsiTheme="minorEastAsia" w:eastAsiaTheme="minorEastAsia"/>
          <w:sz w:val="24"/>
          <w:szCs w:val="24"/>
          <w:highlight w:val="none"/>
        </w:rPr>
        <w:t xml:space="preserve"> </w:t>
      </w:r>
    </w:p>
    <w:p w14:paraId="68380A85">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cs="仿宋" w:asciiTheme="minorEastAsia" w:hAnsiTheme="minorEastAsia" w:eastAsiaTheme="minorEastAsia"/>
          <w:sz w:val="24"/>
          <w:szCs w:val="24"/>
          <w:highlight w:val="none"/>
        </w:rPr>
        <w:t xml:space="preserve"> </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0D2D48ED">
      <w:pPr>
        <w:adjustRightInd w:val="0"/>
        <w:snapToGrid w:val="0"/>
        <w:spacing w:line="360" w:lineRule="auto"/>
        <w:rPr>
          <w:rFonts w:hint="eastAsia"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二、质疑项目基本情况</w:t>
      </w:r>
    </w:p>
    <w:p w14:paraId="798C535C">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质疑项目的名称：</w:t>
      </w:r>
      <w:r>
        <w:rPr>
          <w:rFonts w:hint="eastAsia" w:cs="仿宋" w:asciiTheme="minorEastAsia" w:hAnsiTheme="minorEastAsia" w:eastAsiaTheme="minorEastAsia"/>
          <w:sz w:val="24"/>
          <w:szCs w:val="24"/>
          <w:highlight w:val="none"/>
          <w:u w:val="dotted"/>
        </w:rPr>
        <w:t xml:space="preserve">                                      </w:t>
      </w:r>
    </w:p>
    <w:p w14:paraId="5EF5DDBF">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质疑项目的编号：</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包号：</w:t>
      </w:r>
      <w:r>
        <w:rPr>
          <w:rFonts w:hint="eastAsia" w:cs="仿宋" w:asciiTheme="minorEastAsia" w:hAnsiTheme="minorEastAsia" w:eastAsiaTheme="minorEastAsia"/>
          <w:sz w:val="24"/>
          <w:szCs w:val="24"/>
          <w:highlight w:val="none"/>
          <w:u w:val="dotted"/>
        </w:rPr>
        <w:t xml:space="preserve">                 </w:t>
      </w:r>
    </w:p>
    <w:p w14:paraId="7593DA0D">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采购人名称：</w:t>
      </w:r>
      <w:r>
        <w:rPr>
          <w:rFonts w:hint="eastAsia" w:cs="仿宋" w:asciiTheme="minorEastAsia" w:hAnsiTheme="minorEastAsia" w:eastAsiaTheme="minorEastAsia"/>
          <w:sz w:val="24"/>
          <w:szCs w:val="24"/>
          <w:highlight w:val="none"/>
          <w:u w:val="dotted"/>
        </w:rPr>
        <w:t xml:space="preserve">                                         </w:t>
      </w:r>
    </w:p>
    <w:p w14:paraId="2C94CAA0">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采购文件获取日期：</w:t>
      </w:r>
      <w:r>
        <w:rPr>
          <w:rFonts w:hint="eastAsia" w:cs="仿宋" w:asciiTheme="minorEastAsia" w:hAnsiTheme="minorEastAsia" w:eastAsiaTheme="minorEastAsia"/>
          <w:sz w:val="24"/>
          <w:szCs w:val="24"/>
          <w:highlight w:val="none"/>
          <w:u w:val="dotted"/>
        </w:rPr>
        <w:t xml:space="preserve">                                           </w:t>
      </w:r>
    </w:p>
    <w:p w14:paraId="226304AE">
      <w:pPr>
        <w:adjustRightInd w:val="0"/>
        <w:snapToGrid w:val="0"/>
        <w:spacing w:line="360" w:lineRule="auto"/>
        <w:rPr>
          <w:rFonts w:hint="eastAsia"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三、质疑事项具体内容</w:t>
      </w:r>
    </w:p>
    <w:p w14:paraId="24AF1B2B">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质疑事项1：</w:t>
      </w:r>
      <w:r>
        <w:rPr>
          <w:rFonts w:hint="eastAsia" w:cs="仿宋" w:asciiTheme="minorEastAsia" w:hAnsiTheme="minorEastAsia" w:eastAsiaTheme="minorEastAsia"/>
          <w:sz w:val="24"/>
          <w:szCs w:val="24"/>
          <w:highlight w:val="none"/>
          <w:u w:val="dotted"/>
        </w:rPr>
        <w:t xml:space="preserve">                                         </w:t>
      </w:r>
    </w:p>
    <w:p w14:paraId="1F4E8774">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事实依据：</w:t>
      </w:r>
      <w:r>
        <w:rPr>
          <w:rFonts w:hint="eastAsia" w:cs="仿宋" w:asciiTheme="minorEastAsia" w:hAnsiTheme="minorEastAsia" w:eastAsiaTheme="minorEastAsia"/>
          <w:sz w:val="24"/>
          <w:szCs w:val="24"/>
          <w:highlight w:val="none"/>
          <w:u w:val="dotted"/>
        </w:rPr>
        <w:t xml:space="preserve">                                          </w:t>
      </w:r>
    </w:p>
    <w:p w14:paraId="2E20C679">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u w:val="dotted"/>
        </w:rPr>
        <w:t xml:space="preserve">                                                       </w:t>
      </w:r>
    </w:p>
    <w:p w14:paraId="23EDF223">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法律依据：</w:t>
      </w:r>
      <w:r>
        <w:rPr>
          <w:rFonts w:hint="eastAsia" w:cs="仿宋" w:asciiTheme="minorEastAsia" w:hAnsiTheme="minorEastAsia" w:eastAsiaTheme="minorEastAsia"/>
          <w:sz w:val="24"/>
          <w:szCs w:val="24"/>
          <w:highlight w:val="none"/>
          <w:u w:val="dotted"/>
        </w:rPr>
        <w:t xml:space="preserve">                                          </w:t>
      </w:r>
    </w:p>
    <w:p w14:paraId="7DB9FC68">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u w:val="dotted"/>
        </w:rPr>
        <w:t xml:space="preserve">                                                     </w:t>
      </w:r>
    </w:p>
    <w:p w14:paraId="1E960FE2">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质疑事项2</w:t>
      </w:r>
    </w:p>
    <w:p w14:paraId="6B59856D">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257209AC">
      <w:pPr>
        <w:adjustRightInd w:val="0"/>
        <w:snapToGrid w:val="0"/>
        <w:spacing w:line="360" w:lineRule="auto"/>
        <w:rPr>
          <w:rFonts w:hint="eastAsia"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四、与质疑事项相关的质疑请求</w:t>
      </w:r>
    </w:p>
    <w:p w14:paraId="28D49711">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请求：</w:t>
      </w:r>
      <w:r>
        <w:rPr>
          <w:rFonts w:hint="eastAsia" w:cs="仿宋" w:asciiTheme="minorEastAsia" w:hAnsiTheme="minorEastAsia" w:eastAsiaTheme="minorEastAsia"/>
          <w:sz w:val="24"/>
          <w:szCs w:val="24"/>
          <w:highlight w:val="none"/>
          <w:u w:val="dotted"/>
        </w:rPr>
        <w:t xml:space="preserve">                                               </w:t>
      </w:r>
    </w:p>
    <w:p w14:paraId="04B49151">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签字(签章)：                   公章：                      </w:t>
      </w:r>
    </w:p>
    <w:p w14:paraId="6C996D95">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日期：    </w:t>
      </w:r>
    </w:p>
    <w:p w14:paraId="5118542F">
      <w:pPr>
        <w:widowControl/>
        <w:jc w:val="left"/>
        <w:rPr>
          <w:rFonts w:hint="eastAsia" w:ascii="仿宋" w:hAnsi="仿宋" w:eastAsia="仿宋" w:cs="仿宋"/>
          <w:sz w:val="32"/>
          <w:szCs w:val="32"/>
          <w:highlight w:val="none"/>
        </w:rPr>
      </w:pPr>
      <w:r>
        <w:rPr>
          <w:rFonts w:ascii="仿宋" w:hAnsi="仿宋" w:eastAsia="仿宋" w:cs="仿宋"/>
          <w:sz w:val="32"/>
          <w:szCs w:val="32"/>
          <w:highlight w:val="none"/>
        </w:rPr>
        <w:br w:type="page"/>
      </w:r>
    </w:p>
    <w:p w14:paraId="7EB5C2AA">
      <w:pPr>
        <w:outlineLvl w:val="0"/>
        <w:rPr>
          <w:rFonts w:hint="eastAsia" w:asciiTheme="minorEastAsia" w:hAnsiTheme="minorEastAsia" w:eastAsiaTheme="minorEastAsia"/>
          <w:b/>
          <w:sz w:val="28"/>
          <w:szCs w:val="32"/>
          <w:highlight w:val="none"/>
        </w:rPr>
      </w:pPr>
      <w:bookmarkStart w:id="114" w:name="_Toc14696"/>
      <w:r>
        <w:rPr>
          <w:rFonts w:hint="eastAsia" w:asciiTheme="minorEastAsia" w:hAnsiTheme="minorEastAsia" w:eastAsiaTheme="minorEastAsia"/>
          <w:b/>
          <w:sz w:val="28"/>
          <w:szCs w:val="32"/>
          <w:highlight w:val="none"/>
        </w:rPr>
        <w:t>质疑函制作说明：</w:t>
      </w:r>
      <w:bookmarkEnd w:id="114"/>
    </w:p>
    <w:p w14:paraId="4FBDA4C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14:paraId="757DACA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A6848F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14:paraId="2DDA3C5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14:paraId="1C9E50C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14:paraId="608DA43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126A5C29">
      <w:pPr>
        <w:wordWrap w:val="0"/>
        <w:spacing w:before="100" w:beforeAutospacing="1" w:after="100" w:afterAutospacing="1"/>
        <w:jc w:val="center"/>
        <w:rPr>
          <w:rFonts w:hint="eastAsia" w:ascii="宋体" w:hAnsi="宋体" w:eastAsia="宋体" w:cs="宋体"/>
          <w:b/>
          <w:sz w:val="28"/>
          <w:szCs w:val="28"/>
          <w:highlight w:val="none"/>
        </w:rPr>
      </w:pPr>
    </w:p>
    <w:p w14:paraId="63732629">
      <w:pPr>
        <w:wordWrap w:val="0"/>
        <w:spacing w:before="100" w:beforeAutospacing="1" w:after="100" w:afterAutospacing="1"/>
        <w:jc w:val="center"/>
        <w:rPr>
          <w:rFonts w:hint="eastAsia" w:ascii="宋体" w:hAnsi="宋体" w:eastAsia="宋体" w:cs="宋体"/>
          <w:b/>
          <w:sz w:val="28"/>
          <w:szCs w:val="28"/>
          <w:highlight w:val="none"/>
        </w:rPr>
      </w:pPr>
    </w:p>
    <w:p w14:paraId="3DE45876">
      <w:pPr>
        <w:wordWrap w:val="0"/>
        <w:spacing w:before="100" w:beforeAutospacing="1" w:after="100" w:afterAutospacing="1"/>
        <w:jc w:val="center"/>
        <w:rPr>
          <w:rFonts w:hint="eastAsia" w:ascii="宋体" w:hAnsi="宋体" w:eastAsia="宋体" w:cs="宋体"/>
          <w:b/>
          <w:sz w:val="28"/>
          <w:szCs w:val="28"/>
          <w:highlight w:val="none"/>
        </w:rPr>
      </w:pPr>
    </w:p>
    <w:p w14:paraId="163CFC9C">
      <w:pPr>
        <w:wordWrap w:val="0"/>
        <w:spacing w:before="100" w:beforeAutospacing="1" w:after="100" w:afterAutospacing="1"/>
        <w:jc w:val="center"/>
        <w:rPr>
          <w:rFonts w:hint="eastAsia" w:ascii="宋体" w:hAnsi="宋体" w:eastAsia="宋体" w:cs="宋体"/>
          <w:b/>
          <w:sz w:val="28"/>
          <w:szCs w:val="28"/>
          <w:highlight w:val="none"/>
        </w:rPr>
      </w:pPr>
    </w:p>
    <w:p w14:paraId="78440C13">
      <w:pPr>
        <w:wordWrap w:val="0"/>
        <w:spacing w:before="100" w:beforeAutospacing="1" w:after="100" w:afterAutospacing="1"/>
        <w:jc w:val="center"/>
        <w:rPr>
          <w:rFonts w:hint="eastAsia" w:ascii="宋体" w:hAnsi="宋体" w:eastAsia="宋体" w:cs="宋体"/>
          <w:b/>
          <w:sz w:val="28"/>
          <w:szCs w:val="28"/>
          <w:highlight w:val="none"/>
        </w:rPr>
      </w:pPr>
    </w:p>
    <w:p w14:paraId="083740A9">
      <w:pPr>
        <w:wordWrap w:val="0"/>
        <w:spacing w:before="100" w:beforeAutospacing="1" w:after="100" w:afterAutospacing="1"/>
        <w:jc w:val="center"/>
        <w:rPr>
          <w:rFonts w:hint="eastAsia" w:ascii="宋体" w:hAnsi="宋体" w:eastAsia="宋体" w:cs="宋体"/>
          <w:b/>
          <w:sz w:val="28"/>
          <w:szCs w:val="28"/>
          <w:highlight w:val="none"/>
        </w:rPr>
      </w:pPr>
    </w:p>
    <w:p w14:paraId="4FBB3747">
      <w:pPr>
        <w:spacing w:line="360" w:lineRule="exact"/>
        <w:rPr>
          <w:rFonts w:hint="eastAsia" w:ascii="宋体" w:hAnsi="宋体" w:eastAsia="宋体" w:cs="宋体"/>
          <w:b/>
          <w:szCs w:val="21"/>
          <w:highlight w:val="none"/>
        </w:rPr>
      </w:pPr>
    </w:p>
    <w:p w14:paraId="72AA4084">
      <w:pPr>
        <w:spacing w:line="360" w:lineRule="exact"/>
        <w:rPr>
          <w:rFonts w:hint="eastAsia" w:ascii="宋体" w:hAnsi="宋体" w:eastAsia="宋体" w:cs="宋体"/>
          <w:b/>
          <w:szCs w:val="21"/>
          <w:highlight w:val="none"/>
        </w:rPr>
      </w:pPr>
    </w:p>
    <w:p w14:paraId="1622A908">
      <w:pPr>
        <w:spacing w:line="360" w:lineRule="exact"/>
        <w:rPr>
          <w:rFonts w:hint="eastAsia" w:ascii="宋体" w:hAnsi="宋体" w:eastAsia="宋体" w:cs="宋体"/>
          <w:b/>
          <w:szCs w:val="21"/>
          <w:highlight w:val="none"/>
        </w:rPr>
      </w:pPr>
    </w:p>
    <w:p w14:paraId="4292C2A2">
      <w:pPr>
        <w:spacing w:line="360" w:lineRule="exact"/>
        <w:rPr>
          <w:rFonts w:hint="eastAsia" w:ascii="宋体" w:hAnsi="宋体" w:eastAsia="宋体" w:cs="宋体"/>
          <w:b/>
          <w:szCs w:val="21"/>
          <w:highlight w:val="none"/>
        </w:rPr>
      </w:pPr>
    </w:p>
    <w:p w14:paraId="2A37B3EF">
      <w:pPr>
        <w:spacing w:line="360" w:lineRule="exact"/>
        <w:rPr>
          <w:rFonts w:hint="eastAsia" w:ascii="宋体" w:hAnsi="宋体" w:eastAsia="宋体" w:cs="宋体"/>
          <w:b/>
          <w:szCs w:val="21"/>
          <w:highlight w:val="none"/>
        </w:rPr>
      </w:pPr>
    </w:p>
    <w:p w14:paraId="48EB27B1">
      <w:pPr>
        <w:spacing w:line="360" w:lineRule="exact"/>
        <w:rPr>
          <w:rFonts w:hint="eastAsia" w:ascii="宋体" w:hAnsi="宋体" w:eastAsia="宋体" w:cs="宋体"/>
          <w:b/>
          <w:szCs w:val="21"/>
          <w:highlight w:val="none"/>
        </w:rPr>
      </w:pPr>
    </w:p>
    <w:p w14:paraId="44933467">
      <w:pPr>
        <w:spacing w:line="360" w:lineRule="exact"/>
        <w:rPr>
          <w:rFonts w:hint="eastAsia" w:ascii="宋体" w:hAnsi="宋体" w:eastAsia="宋体" w:cs="宋体"/>
          <w:b/>
          <w:szCs w:val="21"/>
          <w:highlight w:val="none"/>
        </w:rPr>
      </w:pPr>
    </w:p>
    <w:p w14:paraId="44F5446E">
      <w:pPr>
        <w:spacing w:line="360" w:lineRule="exact"/>
        <w:rPr>
          <w:rFonts w:hint="eastAsia" w:ascii="宋体" w:hAnsi="宋体" w:eastAsia="宋体" w:cs="宋体"/>
          <w:b/>
          <w:szCs w:val="21"/>
          <w:highlight w:val="none"/>
        </w:rPr>
      </w:pPr>
    </w:p>
    <w:p w14:paraId="38431A04">
      <w:pPr>
        <w:spacing w:line="360" w:lineRule="exact"/>
        <w:rPr>
          <w:rFonts w:hint="eastAsia" w:ascii="宋体" w:hAnsi="宋体" w:eastAsia="宋体" w:cs="宋体"/>
          <w:b/>
          <w:szCs w:val="21"/>
          <w:highlight w:val="none"/>
        </w:rPr>
      </w:pPr>
    </w:p>
    <w:p w14:paraId="20EE6930">
      <w:pPr>
        <w:spacing w:line="360" w:lineRule="exact"/>
        <w:rPr>
          <w:rFonts w:hint="eastAsia" w:ascii="宋体" w:hAnsi="宋体" w:eastAsia="宋体" w:cs="宋体"/>
          <w:b/>
          <w:szCs w:val="21"/>
          <w:highlight w:val="none"/>
        </w:rPr>
      </w:pPr>
    </w:p>
    <w:p w14:paraId="4AB19D63">
      <w:pPr>
        <w:spacing w:line="360" w:lineRule="exact"/>
        <w:rPr>
          <w:rFonts w:hint="eastAsia" w:ascii="宋体" w:hAnsi="宋体" w:eastAsia="宋体" w:cs="宋体"/>
          <w:b/>
          <w:szCs w:val="21"/>
          <w:highlight w:val="none"/>
        </w:rPr>
      </w:pPr>
    </w:p>
    <w:p w14:paraId="7624B290">
      <w:pPr>
        <w:spacing w:line="360" w:lineRule="exact"/>
        <w:rPr>
          <w:rFonts w:hint="eastAsia" w:ascii="宋体" w:hAnsi="宋体" w:eastAsia="宋体" w:cs="宋体"/>
          <w:b/>
          <w:szCs w:val="21"/>
          <w:highlight w:val="none"/>
        </w:rPr>
      </w:pPr>
      <w:r>
        <w:rPr>
          <w:rFonts w:hint="eastAsia" w:ascii="宋体" w:hAnsi="宋体" w:eastAsia="宋体" w:cs="宋体"/>
          <w:b/>
          <w:szCs w:val="21"/>
          <w:highlight w:val="none"/>
        </w:rPr>
        <w:t xml:space="preserve">附件1            </w:t>
      </w:r>
    </w:p>
    <w:p w14:paraId="24C0241B">
      <w:pPr>
        <w:spacing w:before="156" w:beforeLines="50" w:after="156" w:afterLines="50" w:line="44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关于联合惩戒失信行为 加强信用查询管理的通知</w:t>
      </w:r>
    </w:p>
    <w:p w14:paraId="2495CF58">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一、失信行为联合惩戒的范围和查询渠道</w:t>
      </w:r>
    </w:p>
    <w:p w14:paraId="21DD8913">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在我市公共资源交易活动中对存在下列失信行为的投标人、法定代表人及其项目负责人实施联合惩戒，禁止参与我市公共资源交易活动。</w:t>
      </w:r>
    </w:p>
    <w:p w14:paraId="7AD87DE1">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（一）工程建设项目</w:t>
      </w:r>
    </w:p>
    <w:p w14:paraId="2514AA23">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1、“信用中国”网站（www.creditchina.gov.cn）查询以下失信行为：</w:t>
      </w:r>
    </w:p>
    <w:p w14:paraId="24D54F1A">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①投标人被人民法院列入失信被执行人的；</w:t>
      </w:r>
    </w:p>
    <w:p w14:paraId="28B74E25">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②投标人被税务部门列入重大税收违法案件当事人的；</w:t>
      </w:r>
    </w:p>
    <w:p w14:paraId="52C7F1D0">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③投标人被人力资源社会保障行政部门列入拖欠农民工工资“黑名单”的；</w:t>
      </w:r>
    </w:p>
    <w:p w14:paraId="138DBB25">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④在“信用中国”网站上披露的仍在公示期的严重失信行为的。</w:t>
      </w:r>
    </w:p>
    <w:p w14:paraId="28B4ED4E">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2、国家企业信用信息公示系统网站（www.gsxt.gov.cn）查询以下失信行为：</w:t>
      </w:r>
    </w:p>
    <w:p w14:paraId="0063F553">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①被市场监督管理部门列入经营异常名录或者严重违法企业名单，且未被移除的。</w:t>
      </w:r>
    </w:p>
    <w:p w14:paraId="7BB61362">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w:t>
      </w:r>
      <w:r>
        <w:rPr>
          <w:rFonts w:hint="eastAsia" w:ascii="宋体" w:hAnsi="宋体" w:eastAsia="宋体" w:cs="宋体"/>
          <w:bCs/>
          <w:szCs w:val="21"/>
          <w:highlight w:val="none"/>
          <w:lang w:eastAsia="zh-CN"/>
        </w:rPr>
        <w:t>滁州市妇幼保健计划生育服务中心网站</w:t>
      </w:r>
      <w:r>
        <w:rPr>
          <w:rFonts w:hint="eastAsia" w:ascii="宋体" w:hAnsi="宋体" w:eastAsia="宋体" w:cs="宋体"/>
          <w:bCs/>
          <w:szCs w:val="21"/>
          <w:highlight w:val="none"/>
        </w:rPr>
        <w:t>（</w:t>
      </w:r>
      <w:r>
        <w:rPr>
          <w:rFonts w:hint="eastAsia" w:ascii="宋体" w:hAnsi="宋体" w:eastAsia="宋体" w:cs="宋体"/>
          <w:bCs/>
          <w:szCs w:val="21"/>
          <w:highlight w:val="none"/>
          <w:lang w:eastAsia="zh-CN"/>
        </w:rPr>
        <w:t>http://www.czsfjzx.com/</w:t>
      </w:r>
      <w:r>
        <w:rPr>
          <w:rFonts w:hint="eastAsia" w:ascii="宋体" w:hAnsi="宋体" w:eastAsia="宋体" w:cs="宋体"/>
          <w:bCs/>
          <w:szCs w:val="21"/>
          <w:highlight w:val="none"/>
        </w:rPr>
        <w:t>）查询以下失信行为：</w:t>
      </w:r>
    </w:p>
    <w:p w14:paraId="57666429">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①被滁州市县两级公管部门取消在一定期限内的投标资格且在取消期限内的；</w:t>
      </w:r>
    </w:p>
    <w:p w14:paraId="4CC7A8C4">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②被滁州市县两级公管部门记入不良行为记录或者信用信息记录，且在披露期内的。</w:t>
      </w:r>
    </w:p>
    <w:p w14:paraId="1A49A1A2">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4、由竞争主体进行承诺，不进行现场网上信用查询的失信行为：</w:t>
      </w:r>
    </w:p>
    <w:p w14:paraId="7E597135">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w:t>
      </w:r>
      <w:r>
        <w:rPr>
          <w:rFonts w:hint="eastAsia" w:ascii="宋体" w:hAnsi="宋体" w:eastAsia="宋体" w:cs="宋体"/>
          <w:highlight w:val="none"/>
        </w:rPr>
        <w:t>前三年有行贿犯罪行为的单位和个人；</w:t>
      </w:r>
    </w:p>
    <w:p w14:paraId="63130EA3">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②被滁州市县两级各行业主管部门取消在一定期限内的投标资格且在取消期限内的；</w:t>
      </w:r>
    </w:p>
    <w:p w14:paraId="49FB0AE1">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③因拖欠农民工工资被县级及以上有关行政主管部门限制投标资格且在限制期限内的。</w:t>
      </w:r>
    </w:p>
    <w:p w14:paraId="6623B42F">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（二）政府采购项目</w:t>
      </w:r>
    </w:p>
    <w:p w14:paraId="7656DF27">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1、“信用中国”网站（www.creditchina.gov.cn）查询以下失信行为：</w:t>
      </w:r>
    </w:p>
    <w:p w14:paraId="6B4757DE">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①投标人被人民法院列入失信被执行人的；</w:t>
      </w:r>
    </w:p>
    <w:p w14:paraId="0AB4F6F7">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②投标人被税务部门列入重大税收违法案件当事人的；</w:t>
      </w:r>
    </w:p>
    <w:p w14:paraId="613B592C">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③在“信用中国”网站上披露的仍在公示期的严重失信行为的。</w:t>
      </w:r>
    </w:p>
    <w:p w14:paraId="15EF4EEC">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2、国家企业信用信息公示系统网站（www.gsxt.gov.cn）查询以下失信行为：</w:t>
      </w:r>
    </w:p>
    <w:p w14:paraId="41339CE1">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①被市场监督管理部门列入经营异常名录或者严重违法企业名单，且未被移除的。</w:t>
      </w:r>
    </w:p>
    <w:p w14:paraId="6DF56D9E">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3、中国政府采购网站（www.ccgp.gov.cn）查询以下失信行为：</w:t>
      </w:r>
    </w:p>
    <w:p w14:paraId="59DA8B6E">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①政府采购严重违法失信行为</w:t>
      </w:r>
    </w:p>
    <w:p w14:paraId="2365B374">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4、由竞争主体进行承诺，不进行现场网上信用查询的失信行为：</w:t>
      </w:r>
    </w:p>
    <w:p w14:paraId="19F0D507">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w:t>
      </w:r>
      <w:r>
        <w:rPr>
          <w:rFonts w:hint="eastAsia" w:ascii="宋体" w:hAnsi="宋体" w:eastAsia="宋体" w:cs="宋体"/>
          <w:highlight w:val="none"/>
        </w:rPr>
        <w:t>前三年有行贿犯罪行为的单位和个人；</w:t>
      </w:r>
    </w:p>
    <w:p w14:paraId="7F765B9C">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二、在开评标活动中的查询程序</w:t>
      </w:r>
    </w:p>
    <w:p w14:paraId="0C48CFA1">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3E40D9EE">
      <w:pPr>
        <w:wordWrap w:val="0"/>
        <w:spacing w:line="440" w:lineRule="exact"/>
        <w:ind w:firstLine="420" w:firstLineChars="200"/>
        <w:rPr>
          <w:rFonts w:hint="eastAsia" w:ascii="宋体" w:hAnsi="宋体" w:eastAsia="宋体" w:cs="宋体"/>
          <w:highlight w:val="none"/>
        </w:rPr>
      </w:pPr>
      <w:r>
        <w:rPr>
          <w:rFonts w:hint="eastAsia" w:ascii="宋体" w:hAnsi="宋体" w:eastAsia="宋体" w:cs="宋体"/>
          <w:bCs/>
          <w:szCs w:val="21"/>
          <w:highlight w:val="none"/>
        </w:rPr>
        <w:t>2、</w:t>
      </w:r>
      <w:r>
        <w:rPr>
          <w:rFonts w:hint="eastAsia" w:ascii="宋体" w:hAnsi="宋体" w:eastAsia="宋体" w:cs="宋体"/>
          <w:highlight w:val="none"/>
        </w:rPr>
        <w:t xml:space="preserve">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 </w:t>
      </w:r>
    </w:p>
    <w:p w14:paraId="5276F825">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3、项目单位及其委托的代理机构应当做好信用查询结果截图和记录留存。</w:t>
      </w:r>
    </w:p>
    <w:p w14:paraId="051B7A70">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三、相关要求</w:t>
      </w:r>
    </w:p>
    <w:p w14:paraId="20DB81CE">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38F4DFB4">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A7CA357">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2、“信用中国”查询的严重失信行为判定依据为各行业主管部门下发的联合惩戒文件中规定的行为（按附件2执行）。</w:t>
      </w:r>
    </w:p>
    <w:p w14:paraId="4685F45A">
      <w:pPr>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3、资格预审的项目以递交资格预审申请文件截止时间查询为准；资格后审的项目以递交投标文件截止时间查询为准。</w:t>
      </w:r>
    </w:p>
    <w:p w14:paraId="676EE8F6">
      <w:pPr>
        <w:spacing w:line="360" w:lineRule="exact"/>
        <w:rPr>
          <w:rFonts w:hint="eastAsia" w:ascii="宋体" w:hAnsi="宋体" w:eastAsia="宋体" w:cs="宋体"/>
          <w:szCs w:val="21"/>
          <w:highlight w:val="none"/>
        </w:rPr>
      </w:pPr>
    </w:p>
    <w:p w14:paraId="1B3D7965">
      <w:pPr>
        <w:pStyle w:val="24"/>
        <w:spacing w:line="360" w:lineRule="exact"/>
        <w:rPr>
          <w:rFonts w:hint="eastAsia" w:ascii="宋体" w:hAnsi="宋体" w:eastAsia="宋体" w:cs="宋体"/>
          <w:szCs w:val="21"/>
          <w:highlight w:val="none"/>
        </w:rPr>
      </w:pPr>
    </w:p>
    <w:p w14:paraId="21D2C8A3">
      <w:pPr>
        <w:rPr>
          <w:rFonts w:hint="eastAsia" w:ascii="宋体" w:hAnsi="宋体" w:eastAsia="宋体" w:cs="宋体"/>
          <w:szCs w:val="21"/>
          <w:highlight w:val="none"/>
        </w:rPr>
      </w:pPr>
    </w:p>
    <w:p w14:paraId="190640D4">
      <w:pPr>
        <w:rPr>
          <w:rFonts w:hint="eastAsia" w:ascii="宋体" w:hAnsi="宋体" w:eastAsia="宋体" w:cs="宋体"/>
          <w:szCs w:val="21"/>
          <w:highlight w:val="none"/>
        </w:rPr>
      </w:pPr>
    </w:p>
    <w:p w14:paraId="0F8D5FBB">
      <w:pPr>
        <w:rPr>
          <w:rFonts w:hint="eastAsia" w:ascii="宋体" w:hAnsi="宋体" w:eastAsia="宋体" w:cs="宋体"/>
          <w:szCs w:val="21"/>
          <w:highlight w:val="none"/>
        </w:rPr>
      </w:pPr>
    </w:p>
    <w:p w14:paraId="5E8FBFD0">
      <w:pPr>
        <w:rPr>
          <w:rFonts w:hint="eastAsia" w:ascii="宋体" w:hAnsi="宋体" w:eastAsia="宋体" w:cs="宋体"/>
          <w:szCs w:val="21"/>
          <w:highlight w:val="none"/>
        </w:rPr>
      </w:pPr>
    </w:p>
    <w:p w14:paraId="69CA1DBF">
      <w:pPr>
        <w:rPr>
          <w:rFonts w:hint="eastAsia" w:ascii="宋体" w:hAnsi="宋体" w:eastAsia="宋体" w:cs="宋体"/>
          <w:szCs w:val="21"/>
          <w:highlight w:val="none"/>
        </w:rPr>
      </w:pPr>
    </w:p>
    <w:p w14:paraId="6A65A803">
      <w:pPr>
        <w:rPr>
          <w:rFonts w:hint="eastAsia" w:ascii="宋体" w:hAnsi="宋体" w:eastAsia="宋体" w:cs="宋体"/>
          <w:szCs w:val="21"/>
          <w:highlight w:val="none"/>
        </w:rPr>
      </w:pPr>
    </w:p>
    <w:p w14:paraId="35DB011C">
      <w:pPr>
        <w:rPr>
          <w:rFonts w:hint="eastAsia" w:ascii="宋体" w:hAnsi="宋体" w:eastAsia="宋体" w:cs="宋体"/>
          <w:szCs w:val="21"/>
          <w:highlight w:val="none"/>
        </w:rPr>
      </w:pPr>
    </w:p>
    <w:p w14:paraId="21D9F419">
      <w:pPr>
        <w:rPr>
          <w:rFonts w:hint="eastAsia" w:ascii="宋体" w:hAnsi="宋体" w:eastAsia="宋体" w:cs="宋体"/>
          <w:szCs w:val="21"/>
          <w:highlight w:val="none"/>
        </w:rPr>
      </w:pPr>
    </w:p>
    <w:p w14:paraId="0B654674">
      <w:pPr>
        <w:rPr>
          <w:rFonts w:hint="eastAsia" w:ascii="宋体" w:hAnsi="宋体" w:eastAsia="宋体" w:cs="宋体"/>
          <w:szCs w:val="21"/>
          <w:highlight w:val="none"/>
        </w:rPr>
      </w:pPr>
    </w:p>
    <w:p w14:paraId="63637E41">
      <w:pPr>
        <w:rPr>
          <w:rFonts w:hint="eastAsia" w:ascii="宋体" w:hAnsi="宋体" w:eastAsia="宋体" w:cs="宋体"/>
          <w:szCs w:val="21"/>
          <w:highlight w:val="none"/>
        </w:rPr>
      </w:pPr>
    </w:p>
    <w:p w14:paraId="2F3A95B2">
      <w:pPr>
        <w:rPr>
          <w:rFonts w:hint="eastAsia" w:ascii="宋体" w:hAnsi="宋体" w:eastAsia="宋体" w:cs="宋体"/>
          <w:szCs w:val="21"/>
          <w:highlight w:val="none"/>
        </w:rPr>
      </w:pPr>
    </w:p>
    <w:p w14:paraId="4C86C3E1">
      <w:pPr>
        <w:rPr>
          <w:rFonts w:hint="eastAsia" w:ascii="宋体" w:hAnsi="宋体" w:eastAsia="宋体" w:cs="宋体"/>
          <w:szCs w:val="21"/>
          <w:highlight w:val="none"/>
        </w:rPr>
      </w:pPr>
    </w:p>
    <w:p w14:paraId="6598F202">
      <w:pPr>
        <w:rPr>
          <w:rFonts w:hint="eastAsia" w:ascii="宋体" w:hAnsi="宋体" w:eastAsia="宋体" w:cs="宋体"/>
          <w:szCs w:val="21"/>
          <w:highlight w:val="none"/>
        </w:rPr>
      </w:pPr>
    </w:p>
    <w:p w14:paraId="6FC49814">
      <w:pPr>
        <w:spacing w:before="156" w:beforeLines="50" w:after="156" w:afterLines="50" w:line="440" w:lineRule="exact"/>
        <w:rPr>
          <w:rFonts w:hint="eastAsia" w:ascii="宋体" w:hAnsi="宋体" w:eastAsia="宋体" w:cs="宋体"/>
          <w:b/>
          <w:szCs w:val="21"/>
          <w:highlight w:val="none"/>
        </w:rPr>
      </w:pPr>
      <w:r>
        <w:rPr>
          <w:rFonts w:hint="eastAsia" w:ascii="宋体" w:hAnsi="宋体" w:eastAsia="宋体" w:cs="宋体"/>
          <w:b/>
          <w:szCs w:val="21"/>
          <w:highlight w:val="none"/>
        </w:rPr>
        <w:t xml:space="preserve">附件2 </w:t>
      </w:r>
    </w:p>
    <w:p w14:paraId="3F874796">
      <w:pPr>
        <w:spacing w:before="156" w:beforeLines="50" w:after="156" w:afterLines="50" w:line="440" w:lineRule="exact"/>
        <w:jc w:val="center"/>
        <w:rPr>
          <w:rFonts w:hint="eastAsia" w:ascii="宋体" w:hAnsi="宋体" w:eastAsia="宋体" w:cs="宋体"/>
          <w:b/>
          <w:szCs w:val="21"/>
          <w:highlight w:val="none"/>
        </w:rPr>
      </w:pPr>
      <w:r>
        <w:rPr>
          <w:rFonts w:hint="eastAsia" w:ascii="宋体" w:hAnsi="宋体" w:eastAsia="宋体" w:cs="宋体"/>
          <w:b/>
          <w:sz w:val="28"/>
          <w:szCs w:val="28"/>
          <w:highlight w:val="none"/>
        </w:rPr>
        <w:t>“信用中国”查询的严重失信行为类别及判定依据</w:t>
      </w:r>
    </w:p>
    <w:p w14:paraId="631DD9D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“信用中国”查询的严重失信行为判定依据为各行业主管部门下发的联合惩戒文件中规定的行为。下面将部分类别的严重失信行为列举如下：</w:t>
      </w:r>
    </w:p>
    <w:p w14:paraId="4CA8C811">
      <w:pPr>
        <w:spacing w:line="440" w:lineRule="exact"/>
        <w:ind w:firstLine="422" w:firstLineChars="200"/>
        <w:jc w:val="left"/>
        <w:rPr>
          <w:rFonts w:hint="eastAsia" w:ascii="宋体" w:hAnsi="宋体" w:eastAsia="宋体" w:cs="宋体"/>
          <w:b/>
          <w:szCs w:val="21"/>
          <w:highlight w:val="none"/>
        </w:rPr>
      </w:pPr>
      <w:r>
        <w:rPr>
          <w:rFonts w:hint="eastAsia" w:ascii="宋体" w:hAnsi="宋体" w:eastAsia="宋体" w:cs="宋体"/>
          <w:b/>
          <w:szCs w:val="21"/>
          <w:highlight w:val="none"/>
        </w:rPr>
        <w:t>一、安全生产领域严重失信行为：</w:t>
      </w:r>
    </w:p>
    <w:p w14:paraId="1E566945">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（一）发生较大及以上生产安全责任事故，或1年内累计发生3起及以上造成人员死亡的一般生产安全责任事故的；</w:t>
      </w:r>
    </w:p>
    <w:p w14:paraId="57894F4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（二）未按规定取得安全生产许可，擅自开展生产经营建设活动的；</w:t>
      </w:r>
    </w:p>
    <w:p w14:paraId="3560598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（三）发现重大生产安全事故隐患，或职业病危害严重超标，不及时整改，仍组织从业人员冒险作业的；</w:t>
      </w:r>
    </w:p>
    <w:p w14:paraId="5C0C53D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（四）采取隐蔽、欺骗或阻碍等方式逃避、对抗安全监管监察的;</w:t>
      </w:r>
    </w:p>
    <w:p w14:paraId="0950410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（五）被责令停产停业整顿，仍然从事生产经营建设活动的；</w:t>
      </w:r>
    </w:p>
    <w:p w14:paraId="10B8D2B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（六）瞒报、谎报、迟报生产安全事故的；</w:t>
      </w:r>
    </w:p>
    <w:p w14:paraId="7C0DCD4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（七）矿山、危险化学品、金属冶炼等高危行业建设项目安全设施未经验收合格即投入生产和使用的；</w:t>
      </w:r>
    </w:p>
    <w:p w14:paraId="3FBAD87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（八）矿山生产经营单位存在超层越界开采、以探代采行为的；</w:t>
      </w:r>
    </w:p>
    <w:p w14:paraId="4DBC1C4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（九）发生事故后，故意破坏事故现场，伪造有关证据资料，妨碍、对抗事故调查，或主要负责人逃逸的；</w:t>
      </w:r>
    </w:p>
    <w:p w14:paraId="461DF6A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（十）安全生产和职业健康技术服务机构出具虚假报告或证明，违规转让或出借资质的。</w:t>
      </w:r>
    </w:p>
    <w:p w14:paraId="4426FD3B">
      <w:pPr>
        <w:spacing w:line="440" w:lineRule="exact"/>
        <w:ind w:firstLine="422" w:firstLineChars="200"/>
        <w:jc w:val="left"/>
        <w:rPr>
          <w:rFonts w:hint="eastAsia" w:ascii="宋体" w:hAnsi="宋体" w:eastAsia="宋体" w:cs="宋体"/>
          <w:b/>
          <w:szCs w:val="21"/>
          <w:highlight w:val="none"/>
        </w:rPr>
      </w:pPr>
      <w:r>
        <w:rPr>
          <w:rFonts w:hint="eastAsia" w:ascii="宋体" w:hAnsi="宋体" w:eastAsia="宋体" w:cs="宋体"/>
          <w:b/>
          <w:szCs w:val="21"/>
          <w:highlight w:val="none"/>
        </w:rPr>
        <w:t>依据：《对安全生产领域失信行为开展联合惩戒的实施办法》（安监总办〔2017〕49号）第二条</w:t>
      </w:r>
    </w:p>
    <w:p w14:paraId="38357D49">
      <w:pPr>
        <w:spacing w:line="440" w:lineRule="exact"/>
        <w:ind w:firstLine="422" w:firstLineChars="200"/>
        <w:jc w:val="left"/>
        <w:rPr>
          <w:rFonts w:hint="eastAsia" w:ascii="宋体" w:hAnsi="宋体" w:eastAsia="宋体" w:cs="宋体"/>
          <w:b/>
          <w:szCs w:val="21"/>
          <w:highlight w:val="none"/>
        </w:rPr>
      </w:pPr>
      <w:r>
        <w:rPr>
          <w:rFonts w:hint="eastAsia" w:ascii="宋体" w:hAnsi="宋体" w:eastAsia="宋体" w:cs="宋体"/>
          <w:b/>
          <w:szCs w:val="21"/>
          <w:highlight w:val="none"/>
        </w:rPr>
        <w:t>二、环境保护领域严重失信行为：</w:t>
      </w:r>
    </w:p>
    <w:p w14:paraId="576F0D2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（一）因为环境违法构成</w:t>
      </w:r>
      <w:r>
        <w:rPr>
          <w:highlight w:val="none"/>
        </w:rPr>
        <w:fldChar w:fldCharType="begin"/>
      </w:r>
      <w:r>
        <w:rPr>
          <w:highlight w:val="none"/>
        </w:rPr>
        <w:instrText xml:space="preserve"> HYPERLINK "https://baike.sogou.com/m/fullLemma?lid=10403954&amp;g_ut=3" \t "https://baike.sogou.com/m/_blank" </w:instrText>
      </w:r>
      <w:r>
        <w:rPr>
          <w:highlight w:val="none"/>
        </w:rPr>
        <w:fldChar w:fldCharType="separate"/>
      </w:r>
      <w:r>
        <w:rPr>
          <w:rFonts w:hint="eastAsia" w:ascii="宋体" w:hAnsi="宋体" w:eastAsia="宋体" w:cs="宋体"/>
          <w:szCs w:val="21"/>
          <w:highlight w:val="none"/>
        </w:rPr>
        <w:t>环境犯罪</w:t>
      </w:r>
      <w:r>
        <w:rPr>
          <w:rFonts w:hint="eastAsia" w:ascii="宋体" w:hAnsi="宋体" w:eastAsia="宋体" w:cs="宋体"/>
          <w:szCs w:val="21"/>
          <w:highlight w:val="none"/>
        </w:rPr>
        <w:fldChar w:fldCharType="end"/>
      </w:r>
      <w:r>
        <w:rPr>
          <w:rFonts w:hint="eastAsia" w:ascii="宋体" w:hAnsi="宋体" w:eastAsia="宋体" w:cs="宋体"/>
          <w:szCs w:val="21"/>
          <w:highlight w:val="none"/>
        </w:rPr>
        <w:t>的；</w:t>
      </w:r>
    </w:p>
    <w:p w14:paraId="594F2CB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（二）</w:t>
      </w:r>
      <w:r>
        <w:rPr>
          <w:highlight w:val="none"/>
        </w:rPr>
        <w:fldChar w:fldCharType="begin"/>
      </w:r>
      <w:r>
        <w:rPr>
          <w:highlight w:val="none"/>
        </w:rPr>
        <w:instrText xml:space="preserve"> HYPERLINK "https://baike.sogou.com/m/fullLemma?lid=76033123&amp;g_ut=3" \t "https://baike.sogou.com/m/_blank" </w:instrText>
      </w:r>
      <w:r>
        <w:rPr>
          <w:highlight w:val="none"/>
        </w:rPr>
        <w:fldChar w:fldCharType="separate"/>
      </w:r>
      <w:r>
        <w:rPr>
          <w:rFonts w:hint="eastAsia" w:ascii="宋体" w:hAnsi="宋体" w:eastAsia="宋体" w:cs="宋体"/>
          <w:szCs w:val="21"/>
          <w:highlight w:val="none"/>
        </w:rPr>
        <w:t>建设项目环境影响评价</w:t>
      </w:r>
      <w:r>
        <w:rPr>
          <w:rFonts w:hint="eastAsia" w:ascii="宋体" w:hAnsi="宋体" w:eastAsia="宋体" w:cs="宋体"/>
          <w:szCs w:val="21"/>
          <w:highlight w:val="none"/>
        </w:rPr>
        <w:fldChar w:fldCharType="end"/>
      </w:r>
      <w:r>
        <w:rPr>
          <w:rFonts w:hint="eastAsia" w:ascii="宋体" w:hAnsi="宋体" w:eastAsia="宋体" w:cs="宋体"/>
          <w:szCs w:val="21"/>
          <w:highlight w:val="none"/>
        </w:rPr>
        <w:t>文件未按规定通过审批，擅自开工建设的；</w:t>
      </w:r>
    </w:p>
    <w:p w14:paraId="686895A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（三）建设项目环保设施未建成、环保措施未落实、未通过</w:t>
      </w:r>
      <w:r>
        <w:rPr>
          <w:highlight w:val="none"/>
        </w:rPr>
        <w:fldChar w:fldCharType="begin"/>
      </w:r>
      <w:r>
        <w:rPr>
          <w:highlight w:val="none"/>
        </w:rPr>
        <w:instrText xml:space="preserve"> HYPERLINK "https://baike.sogou.com/m/fullLemma?lid=6470550&amp;g_ut=3" \t "https://baike.sogou.com/m/_blank" </w:instrText>
      </w:r>
      <w:r>
        <w:rPr>
          <w:highlight w:val="none"/>
        </w:rPr>
        <w:fldChar w:fldCharType="separate"/>
      </w:r>
      <w:r>
        <w:rPr>
          <w:rFonts w:hint="eastAsia" w:ascii="宋体" w:hAnsi="宋体" w:eastAsia="宋体" w:cs="宋体"/>
          <w:szCs w:val="21"/>
          <w:highlight w:val="none"/>
        </w:rPr>
        <w:t>竣工环保验收</w:t>
      </w:r>
      <w:r>
        <w:rPr>
          <w:rFonts w:hint="eastAsia" w:ascii="宋体" w:hAnsi="宋体" w:eastAsia="宋体" w:cs="宋体"/>
          <w:szCs w:val="21"/>
          <w:highlight w:val="none"/>
        </w:rPr>
        <w:fldChar w:fldCharType="end"/>
      </w:r>
      <w:r>
        <w:rPr>
          <w:rFonts w:hint="eastAsia" w:ascii="宋体" w:hAnsi="宋体" w:eastAsia="宋体" w:cs="宋体"/>
          <w:szCs w:val="21"/>
          <w:highlight w:val="none"/>
        </w:rPr>
        <w:t>或者验收不合格，主体工程正式投入生产或者使用的；</w:t>
      </w:r>
    </w:p>
    <w:p w14:paraId="386A440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（四）建设项目性质、规模、地点、采用的生产工艺或者防治污染、防止生态破坏的措施发生重大变动，未重新报批环境影响评价文件，擅自投入生产或者使用的；</w:t>
      </w:r>
    </w:p>
    <w:p w14:paraId="55FFA9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（五）主要污染物排放总量超过控制指标的；</w:t>
      </w:r>
    </w:p>
    <w:p w14:paraId="2D97A44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（六）私设暗管或者利用</w:t>
      </w:r>
      <w:r>
        <w:rPr>
          <w:highlight w:val="none"/>
        </w:rPr>
        <w:fldChar w:fldCharType="begin"/>
      </w:r>
      <w:r>
        <w:rPr>
          <w:highlight w:val="none"/>
        </w:rPr>
        <w:instrText xml:space="preserve"> HYPERLINK "https://baike.sogou.com/m/fullLemma?lid=41657319&amp;g_ut=3" \t "https://baike.sogou.com/m/_blank" </w:instrText>
      </w:r>
      <w:r>
        <w:rPr>
          <w:highlight w:val="none"/>
        </w:rPr>
        <w:fldChar w:fldCharType="separate"/>
      </w:r>
      <w:r>
        <w:rPr>
          <w:rFonts w:hint="eastAsia" w:ascii="宋体" w:hAnsi="宋体" w:eastAsia="宋体" w:cs="宋体"/>
          <w:szCs w:val="21"/>
          <w:highlight w:val="none"/>
        </w:rPr>
        <w:t>渗井</w:t>
      </w:r>
      <w:r>
        <w:rPr>
          <w:rFonts w:hint="eastAsia" w:ascii="宋体" w:hAnsi="宋体" w:eastAsia="宋体" w:cs="宋体"/>
          <w:szCs w:val="21"/>
          <w:highlight w:val="none"/>
        </w:rPr>
        <w:fldChar w:fldCharType="end"/>
      </w:r>
      <w:r>
        <w:rPr>
          <w:rFonts w:hint="eastAsia" w:ascii="宋体" w:hAnsi="宋体" w:eastAsia="宋体" w:cs="宋体"/>
          <w:szCs w:val="21"/>
          <w:highlight w:val="none"/>
        </w:rPr>
        <w:t>、渗坑、裂隙、溶洞等排放、倾倒、处置水污染物，或者通过私设旁路排放</w:t>
      </w:r>
      <w:r>
        <w:rPr>
          <w:highlight w:val="none"/>
        </w:rPr>
        <w:fldChar w:fldCharType="begin"/>
      </w:r>
      <w:r>
        <w:rPr>
          <w:highlight w:val="none"/>
        </w:rPr>
        <w:instrText xml:space="preserve"> HYPERLINK "https://baike.sogou.com/m/fullLemma?lid=7758328&amp;g_ut=3" \t "https://baike.sogou.com/m/_blank" </w:instrText>
      </w:r>
      <w:r>
        <w:rPr>
          <w:highlight w:val="none"/>
        </w:rPr>
        <w:fldChar w:fldCharType="separate"/>
      </w:r>
      <w:r>
        <w:rPr>
          <w:rFonts w:hint="eastAsia" w:ascii="宋体" w:hAnsi="宋体" w:eastAsia="宋体" w:cs="宋体"/>
          <w:szCs w:val="21"/>
          <w:highlight w:val="none"/>
        </w:rPr>
        <w:t>大气污染物</w:t>
      </w:r>
      <w:r>
        <w:rPr>
          <w:rFonts w:hint="eastAsia" w:ascii="宋体" w:hAnsi="宋体" w:eastAsia="宋体" w:cs="宋体"/>
          <w:szCs w:val="21"/>
          <w:highlight w:val="none"/>
        </w:rPr>
        <w:fldChar w:fldCharType="end"/>
      </w:r>
      <w:r>
        <w:rPr>
          <w:rFonts w:hint="eastAsia" w:ascii="宋体" w:hAnsi="宋体" w:eastAsia="宋体" w:cs="宋体"/>
          <w:szCs w:val="21"/>
          <w:highlight w:val="none"/>
        </w:rPr>
        <w:t>的；</w:t>
      </w:r>
    </w:p>
    <w:p w14:paraId="23B6D78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（七）非法排放、倾倒、处置危险废物，或者向无</w:t>
      </w:r>
      <w:r>
        <w:rPr>
          <w:highlight w:val="none"/>
        </w:rPr>
        <w:fldChar w:fldCharType="begin"/>
      </w:r>
      <w:r>
        <w:rPr>
          <w:highlight w:val="none"/>
        </w:rPr>
        <w:instrText xml:space="preserve"> HYPERLINK "https://baike.sogou.com/m/fullLemma?lid=5923292&amp;g_ut=3" \t "https://baike.sogou.com/m/_blank" </w:instrText>
      </w:r>
      <w:r>
        <w:rPr>
          <w:highlight w:val="none"/>
        </w:rPr>
        <w:fldChar w:fldCharType="separate"/>
      </w:r>
      <w:r>
        <w:rPr>
          <w:rFonts w:hint="eastAsia" w:ascii="宋体" w:hAnsi="宋体" w:eastAsia="宋体" w:cs="宋体"/>
          <w:szCs w:val="21"/>
          <w:highlight w:val="none"/>
        </w:rPr>
        <w:t>经营许可证</w:t>
      </w:r>
      <w:r>
        <w:rPr>
          <w:rFonts w:hint="eastAsia" w:ascii="宋体" w:hAnsi="宋体" w:eastAsia="宋体" w:cs="宋体"/>
          <w:szCs w:val="21"/>
          <w:highlight w:val="none"/>
        </w:rPr>
        <w:fldChar w:fldCharType="end"/>
      </w:r>
      <w:r>
        <w:rPr>
          <w:rFonts w:hint="eastAsia" w:ascii="宋体" w:hAnsi="宋体" w:eastAsia="宋体" w:cs="宋体"/>
          <w:szCs w:val="21"/>
          <w:highlight w:val="none"/>
        </w:rPr>
        <w:t>或者超出经营许可范围的单位或个人提供或者委托其收集、贮存、利用、处置危险废物的；</w:t>
      </w:r>
    </w:p>
    <w:p w14:paraId="0B408BC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（八）</w:t>
      </w:r>
      <w:r>
        <w:rPr>
          <w:highlight w:val="none"/>
        </w:rPr>
        <w:fldChar w:fldCharType="begin"/>
      </w:r>
      <w:r>
        <w:rPr>
          <w:highlight w:val="none"/>
        </w:rPr>
        <w:instrText xml:space="preserve"> HYPERLINK "https://baike.sogou.com/m/fullLemma?lid=167759803&amp;g_ut=3" \t "https://baike.sogou.com/m/_blank" </w:instrText>
      </w:r>
      <w:r>
        <w:rPr>
          <w:highlight w:val="none"/>
        </w:rPr>
        <w:fldChar w:fldCharType="separate"/>
      </w:r>
      <w:r>
        <w:rPr>
          <w:rFonts w:hint="eastAsia" w:ascii="宋体" w:hAnsi="宋体" w:eastAsia="宋体" w:cs="宋体"/>
          <w:szCs w:val="21"/>
          <w:highlight w:val="none"/>
        </w:rPr>
        <w:t>环境违法行为</w:t>
      </w:r>
      <w:r>
        <w:rPr>
          <w:rFonts w:hint="eastAsia" w:ascii="宋体" w:hAnsi="宋体" w:eastAsia="宋体" w:cs="宋体"/>
          <w:szCs w:val="21"/>
          <w:highlight w:val="none"/>
        </w:rPr>
        <w:fldChar w:fldCharType="end"/>
      </w:r>
      <w:r>
        <w:rPr>
          <w:rFonts w:hint="eastAsia" w:ascii="宋体" w:hAnsi="宋体" w:eastAsia="宋体" w:cs="宋体"/>
          <w:szCs w:val="21"/>
          <w:highlight w:val="none"/>
        </w:rPr>
        <w:t>造成集中式生活饮用水水源取水中断的；</w:t>
      </w:r>
    </w:p>
    <w:p w14:paraId="1986397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（九）环境违法行为对生活饮用水水源保护区、自然保护区、</w:t>
      </w:r>
      <w:r>
        <w:rPr>
          <w:highlight w:val="none"/>
        </w:rPr>
        <w:fldChar w:fldCharType="begin"/>
      </w:r>
      <w:r>
        <w:rPr>
          <w:highlight w:val="none"/>
        </w:rPr>
        <w:instrText xml:space="preserve"> HYPERLINK "https://baike.sogou.com/m/fullLemma?lid=155199213&amp;g_ut=3" \t "https://baike.sogou.com/m/_blank" </w:instrText>
      </w:r>
      <w:r>
        <w:rPr>
          <w:highlight w:val="none"/>
        </w:rPr>
        <w:fldChar w:fldCharType="separate"/>
      </w:r>
      <w:r>
        <w:rPr>
          <w:rFonts w:hint="eastAsia" w:ascii="宋体" w:hAnsi="宋体" w:eastAsia="宋体" w:cs="宋体"/>
          <w:szCs w:val="21"/>
          <w:highlight w:val="none"/>
        </w:rPr>
        <w:t>国家重点生态功能区</w:t>
      </w:r>
      <w:r>
        <w:rPr>
          <w:rFonts w:hint="eastAsia" w:ascii="宋体" w:hAnsi="宋体" w:eastAsia="宋体" w:cs="宋体"/>
          <w:szCs w:val="21"/>
          <w:highlight w:val="none"/>
        </w:rPr>
        <w:fldChar w:fldCharType="end"/>
      </w:r>
      <w:r>
        <w:rPr>
          <w:rFonts w:hint="eastAsia" w:ascii="宋体" w:hAnsi="宋体" w:eastAsia="宋体" w:cs="宋体"/>
          <w:szCs w:val="21"/>
          <w:highlight w:val="none"/>
        </w:rPr>
        <w:t>、风景名胜区、居住功能区、</w:t>
      </w:r>
      <w:r>
        <w:rPr>
          <w:highlight w:val="none"/>
        </w:rPr>
        <w:fldChar w:fldCharType="begin"/>
      </w:r>
      <w:r>
        <w:rPr>
          <w:highlight w:val="none"/>
        </w:rPr>
        <w:instrText xml:space="preserve"> HYPERLINK "https://baike.sogou.com/m/fullLemma?lid=7757164&amp;g_ut=3" \t "https://baike.sogou.com/m/_blank" </w:instrText>
      </w:r>
      <w:r>
        <w:rPr>
          <w:highlight w:val="none"/>
        </w:rPr>
        <w:fldChar w:fldCharType="separate"/>
      </w:r>
      <w:r>
        <w:rPr>
          <w:rFonts w:hint="eastAsia" w:ascii="宋体" w:hAnsi="宋体" w:eastAsia="宋体" w:cs="宋体"/>
          <w:szCs w:val="21"/>
          <w:highlight w:val="none"/>
        </w:rPr>
        <w:t>基本农田保护区</w:t>
      </w:r>
      <w:r>
        <w:rPr>
          <w:rFonts w:hint="eastAsia" w:ascii="宋体" w:hAnsi="宋体" w:eastAsia="宋体" w:cs="宋体"/>
          <w:szCs w:val="21"/>
          <w:highlight w:val="none"/>
        </w:rPr>
        <w:fldChar w:fldCharType="end"/>
      </w:r>
      <w:r>
        <w:rPr>
          <w:rFonts w:hint="eastAsia" w:ascii="宋体" w:hAnsi="宋体" w:eastAsia="宋体" w:cs="宋体"/>
          <w:szCs w:val="21"/>
          <w:highlight w:val="none"/>
        </w:rPr>
        <w:t>等环境敏感区造成重大不利影响的；</w:t>
      </w:r>
    </w:p>
    <w:p w14:paraId="3C2F380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（十）违法从事自然资源开发、交通基础设施建设，以及其他开发建设活动，造成严重生态破坏的；</w:t>
      </w:r>
    </w:p>
    <w:p w14:paraId="341F6E4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（十一）发生较大及以上突发环境事件的；</w:t>
      </w:r>
    </w:p>
    <w:p w14:paraId="01BBF655">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（十二）被环保部门挂牌督办，整改逾期未完成的；</w:t>
      </w:r>
    </w:p>
    <w:p w14:paraId="2308388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（十三）以暴力、威胁等方式拒绝、阻挠环保部门工作人员现场检查的；</w:t>
      </w:r>
    </w:p>
    <w:p w14:paraId="7DA41315">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（十四）违反重污染天气应急预案有关规定，对重污染天气响应不力的。</w:t>
      </w:r>
    </w:p>
    <w:p w14:paraId="2189605A">
      <w:pPr>
        <w:spacing w:line="440" w:lineRule="exact"/>
        <w:ind w:firstLine="422" w:firstLineChars="200"/>
        <w:jc w:val="left"/>
        <w:rPr>
          <w:rFonts w:hint="eastAsia" w:ascii="宋体" w:hAnsi="宋体" w:eastAsia="宋体" w:cs="宋体"/>
          <w:b/>
          <w:szCs w:val="21"/>
          <w:highlight w:val="none"/>
        </w:rPr>
      </w:pPr>
      <w:r>
        <w:rPr>
          <w:rFonts w:hint="eastAsia" w:ascii="宋体" w:hAnsi="宋体" w:eastAsia="宋体" w:cs="宋体"/>
          <w:b/>
          <w:szCs w:val="21"/>
          <w:highlight w:val="none"/>
        </w:rPr>
        <w:t>依据：《关于对环境保护领域失信生产经营单位及其有关人员开展联合惩戒的合作备忘录》、《企业环境信用评价办法（试行）》（环发〔2013〕150号）</w:t>
      </w:r>
    </w:p>
    <w:p w14:paraId="7ABD2F5E">
      <w:pPr>
        <w:spacing w:line="440" w:lineRule="exact"/>
        <w:ind w:firstLine="422" w:firstLineChars="200"/>
        <w:jc w:val="left"/>
        <w:rPr>
          <w:rFonts w:hint="eastAsia" w:ascii="宋体" w:hAnsi="宋体" w:eastAsia="宋体" w:cs="宋体"/>
          <w:b/>
          <w:szCs w:val="21"/>
          <w:highlight w:val="none"/>
        </w:rPr>
      </w:pPr>
      <w:r>
        <w:rPr>
          <w:rFonts w:hint="eastAsia" w:ascii="宋体" w:hAnsi="宋体" w:eastAsia="宋体" w:cs="宋体"/>
          <w:b/>
          <w:szCs w:val="21"/>
          <w:highlight w:val="none"/>
        </w:rPr>
        <w:t>三、</w:t>
      </w:r>
      <w:r>
        <w:rPr>
          <w:rFonts w:hint="eastAsia" w:ascii="宋体" w:hAnsi="宋体" w:eastAsia="宋体" w:cs="宋体"/>
          <w:b/>
          <w:bCs/>
          <w:szCs w:val="21"/>
          <w:highlight w:val="none"/>
        </w:rPr>
        <w:t>公共资源交易领域严重失信行为</w:t>
      </w:r>
    </w:p>
    <w:p w14:paraId="467C31C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（一）违反法律规定，必须进行招标的项目而不招标的，将必须进行招标的项目化整为零或者以其他任何方式规避招标的；</w:t>
      </w:r>
    </w:p>
    <w:p w14:paraId="45C95D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（二）招标代理机构违反法律规定，泄露应当保密的与招标投标活动有关的情况和资料的，或者与招标人、投标人串通损害国家利益、社会公共利益或者他人合法权益的；</w:t>
      </w:r>
    </w:p>
    <w:p w14:paraId="38F4C32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（三）招标人以不合理的条件限制或者排斥潜在投标人的，对潜在投标人实行歧视待遇的，强制要求投标人组成联合体共同投标的，或者限制投标人之间竞争的；</w:t>
      </w:r>
    </w:p>
    <w:p w14:paraId="41CE9AC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（四）依法必须进行招标的项目的招标人向他人透露已获取招标文件的潜在投标人的名称、数量或者可能影响公平竞争的有关招标投标的其他情况的，或者泄露标底的；</w:t>
      </w:r>
    </w:p>
    <w:p w14:paraId="6733370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（五）投标人相互串通投标或者与招标人串通投标的，投标人以向招标人或者评标委员会成员行贿的手段谋取中标的；</w:t>
      </w:r>
    </w:p>
    <w:p w14:paraId="015397A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（六）投标人以他人名义投标或者以其他方式弄虚作假，骗取中标的；</w:t>
      </w:r>
    </w:p>
    <w:p w14:paraId="6D95573E">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（七）依法必须进行招标的项目，招标人违反法律规定，与投标人就投标价格、投标方案等实质性内容进行谈判的；</w:t>
      </w:r>
    </w:p>
    <w:p w14:paraId="5ACAA01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（八）评标委员会成员收受投标人的财物或者其他好处的，评标委员会成员或者参加评标的有关工作人员向他人透露对投标文件的评审和比较、中标候选人的推荐以及与评标有关的其他情况的；</w:t>
      </w:r>
    </w:p>
    <w:p w14:paraId="71976A9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（九）招标人在评标委员会依法推荐的中标候选人以外确定中标人的，依法必须进行招标的项目在所有投标被评标委员会否决后自行确定中标人的；</w:t>
      </w:r>
    </w:p>
    <w:p w14:paraId="02512FA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（十）中标人将中标项目转让给他人的，将中标项目肢解后分别转让给他人的，违反法律规定将中标项目的部分主体、关键性工作分包给他人的，或者分包人再次分包的；</w:t>
      </w:r>
    </w:p>
    <w:p w14:paraId="3852D8D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（十一）招标人与中标人不按照招标文件和中标人的投标文件订立合同的，或者招标人、中标人订立背离合同实质性内容的协议的；</w:t>
      </w:r>
    </w:p>
    <w:p w14:paraId="524B32C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（十二）中标人不按照与招标人订立的合同履行义务，情节严重的；</w:t>
      </w:r>
    </w:p>
    <w:p w14:paraId="19964A9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14:paraId="19EF0BC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四）采购人、采购代理机构及其工作人员存在与供应商或者采购代理机构恶意串通，在采购过程中接受贿赂或者获取其他不正当利益，在有关部门依法实施的监督检查中提供虚假情况，或者开标前泄露标底等情形的；</w:t>
      </w:r>
    </w:p>
    <w:p w14:paraId="013271A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（十五）采购人对应当实行集中采购的政府采购项目，不委托集中采购机构实行集中采购的；</w:t>
      </w:r>
    </w:p>
    <w:p w14:paraId="13B7D5D5">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（十六）采购人、采购代理机构违反法律规定隐匿、销毁应当保存的采购文件或者伪造、变造采购文件的；</w:t>
      </w:r>
    </w:p>
    <w:p w14:paraId="366552D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w:t>
      </w:r>
    </w:p>
    <w:p w14:paraId="4588CF7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（十八）疫苗生产企业向县级疾病预防控制机构以外的单位或者个人销售第二类疫苗的；</w:t>
      </w:r>
    </w:p>
    <w:p w14:paraId="40E3144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（十九）存在其他违反公共资源交易法律法规行为的。</w:t>
      </w:r>
    </w:p>
    <w:p w14:paraId="0150ABE5">
      <w:pPr>
        <w:spacing w:line="440" w:lineRule="exact"/>
        <w:ind w:firstLine="422" w:firstLineChars="200"/>
        <w:jc w:val="left"/>
        <w:rPr>
          <w:rFonts w:hint="eastAsia" w:ascii="宋体" w:hAnsi="宋体" w:eastAsia="宋体" w:cs="宋体"/>
          <w:b/>
          <w:szCs w:val="21"/>
          <w:highlight w:val="none"/>
        </w:rPr>
      </w:pPr>
      <w:r>
        <w:rPr>
          <w:rFonts w:hint="eastAsia" w:ascii="宋体" w:hAnsi="宋体" w:eastAsia="宋体" w:cs="宋体"/>
          <w:b/>
          <w:szCs w:val="21"/>
          <w:highlight w:val="none"/>
        </w:rPr>
        <w:t>依据：《关于对公共资源交易领域严重失信主体开展联合惩戒的备忘录》（发改法规〔2018〕457号）</w:t>
      </w:r>
    </w:p>
    <w:p w14:paraId="73B093B4">
      <w:pPr>
        <w:spacing w:line="440" w:lineRule="exact"/>
        <w:ind w:firstLine="422" w:firstLineChars="200"/>
        <w:jc w:val="left"/>
        <w:rPr>
          <w:rFonts w:hint="eastAsia" w:ascii="宋体" w:hAnsi="宋体" w:eastAsia="宋体" w:cs="宋体"/>
          <w:b/>
          <w:bCs/>
          <w:szCs w:val="21"/>
          <w:highlight w:val="none"/>
        </w:rPr>
      </w:pPr>
      <w:r>
        <w:rPr>
          <w:rFonts w:hint="eastAsia" w:ascii="宋体" w:hAnsi="宋体" w:eastAsia="宋体" w:cs="宋体"/>
          <w:b/>
          <w:szCs w:val="21"/>
          <w:highlight w:val="none"/>
        </w:rPr>
        <w:t>四、</w:t>
      </w:r>
      <w:r>
        <w:rPr>
          <w:rFonts w:hint="eastAsia" w:ascii="宋体" w:hAnsi="宋体" w:eastAsia="宋体" w:cs="宋体"/>
          <w:b/>
          <w:bCs/>
          <w:szCs w:val="21"/>
          <w:highlight w:val="none"/>
        </w:rPr>
        <w:t>社会保险领域严重失信行为</w:t>
      </w:r>
    </w:p>
    <w:p w14:paraId="356B3EA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（一）用人单位未按相关规定参加社会保险且拒不整改的；</w:t>
      </w:r>
    </w:p>
    <w:p w14:paraId="68F2670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（二）用人单位未如实申报社会保险缴费基数且拒不整改的；</w:t>
      </w:r>
    </w:p>
    <w:p w14:paraId="395BFB6E">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（三）应缴纳社会保险费却拒不缴纳的；</w:t>
      </w:r>
    </w:p>
    <w:p w14:paraId="795BFA2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（四）隐匿、转移、侵占、挪用社会保险费款、基金或者违规投资运营的；</w:t>
      </w:r>
    </w:p>
    <w:p w14:paraId="01EDD93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（五）以欺诈、伪造证明材料或者其他手段参加、申报社会保险和骗取社会保险基金支出或社会保险待遇的；</w:t>
      </w:r>
    </w:p>
    <w:p w14:paraId="151DFC2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（六）非法获取、出售或变相交易社会保险个人权益数据的；</w:t>
      </w:r>
    </w:p>
    <w:p w14:paraId="11EA772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（七）社会保险服务机构违反服务协议或相关规定的；</w:t>
      </w:r>
    </w:p>
    <w:p w14:paraId="4218A3E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（八）拒绝协助社会保险行政部门、经办机构对事故和问题进行调查核实的；拒绝接受或协助税务部门对社会保险实施监督检查，不如实提供与社会保险相关各项资料的；</w:t>
      </w:r>
    </w:p>
    <w:p w14:paraId="2A1EEFF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（九）其他违反法律法规规定的。</w:t>
      </w:r>
    </w:p>
    <w:p w14:paraId="34851132">
      <w:pPr>
        <w:spacing w:line="440" w:lineRule="exact"/>
        <w:ind w:firstLine="422" w:firstLineChars="200"/>
        <w:jc w:val="left"/>
        <w:rPr>
          <w:rFonts w:hint="eastAsia" w:ascii="宋体" w:hAnsi="宋体" w:eastAsia="宋体" w:cs="宋体"/>
          <w:b/>
          <w:szCs w:val="21"/>
          <w:highlight w:val="none"/>
        </w:rPr>
      </w:pPr>
      <w:r>
        <w:rPr>
          <w:rFonts w:hint="eastAsia" w:ascii="宋体" w:hAnsi="宋体" w:eastAsia="宋体" w:cs="宋体"/>
          <w:b/>
          <w:szCs w:val="21"/>
          <w:highlight w:val="none"/>
        </w:rPr>
        <w:t>依据：《关于对社会保险领域严重失信企业及其有关人员实施联合惩戒的合作备忘录》（发改财金〔2018〕1704号）</w:t>
      </w:r>
    </w:p>
    <w:p w14:paraId="4B5B1A42">
      <w:pPr>
        <w:spacing w:line="440" w:lineRule="exact"/>
        <w:ind w:firstLine="422" w:firstLineChars="200"/>
        <w:jc w:val="left"/>
        <w:rPr>
          <w:rFonts w:hint="eastAsia" w:ascii="宋体" w:hAnsi="宋体" w:eastAsia="宋体" w:cs="宋体"/>
          <w:b/>
          <w:bCs/>
          <w:szCs w:val="21"/>
          <w:highlight w:val="none"/>
        </w:rPr>
      </w:pPr>
      <w:r>
        <w:rPr>
          <w:rFonts w:hint="eastAsia" w:ascii="宋体" w:hAnsi="宋体" w:eastAsia="宋体" w:cs="宋体"/>
          <w:b/>
          <w:szCs w:val="21"/>
          <w:highlight w:val="none"/>
        </w:rPr>
        <w:t>五、建筑市场领域</w:t>
      </w:r>
      <w:r>
        <w:rPr>
          <w:rFonts w:hint="eastAsia" w:ascii="宋体" w:hAnsi="宋体" w:eastAsia="宋体" w:cs="宋体"/>
          <w:b/>
          <w:bCs/>
          <w:szCs w:val="21"/>
          <w:highlight w:val="none"/>
        </w:rPr>
        <w:t>严重失信行为</w:t>
      </w:r>
    </w:p>
    <w:p w14:paraId="703B9A7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（一）利用虚假材料、以欺骗手段取得企业资质的；</w:t>
      </w:r>
    </w:p>
    <w:p w14:paraId="074618E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（二）发生转包、出借资质，受到行政处罚的；</w:t>
      </w:r>
    </w:p>
    <w:p w14:paraId="1E21695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（三）发生重大及以上工程质量安全事故，或1年内累计发生2次及以上较大工程质量安全事故，或发生性质恶劣、危害性严重、社会影响大的较大工程质量安全事故，受到行政处罚的；</w:t>
      </w:r>
    </w:p>
    <w:p w14:paraId="357C6E7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（四）经法院判决或仲裁机构裁决，认定为拖欠工程款,且拒不履行生效法律文书确定的义务的。</w:t>
      </w:r>
    </w:p>
    <w:p w14:paraId="23CE3A2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各级住房城乡建设主管部门应当参照建筑市场主体“黑名单”，对被人力资源社会保障主管部门列入拖欠农民工工资“黑名单”的建筑市场各方主体加强监管。</w:t>
      </w:r>
    </w:p>
    <w:p w14:paraId="7C414C74">
      <w:pPr>
        <w:spacing w:line="440" w:lineRule="exact"/>
        <w:ind w:firstLine="422" w:firstLineChars="200"/>
        <w:jc w:val="left"/>
        <w:rPr>
          <w:rFonts w:hint="eastAsia" w:ascii="宋体" w:hAnsi="宋体" w:eastAsia="宋体" w:cs="宋体"/>
          <w:szCs w:val="21"/>
          <w:highlight w:val="none"/>
        </w:rPr>
      </w:pPr>
      <w:r>
        <w:rPr>
          <w:rFonts w:hint="eastAsia" w:ascii="宋体" w:hAnsi="宋体" w:eastAsia="宋体" w:cs="宋体"/>
          <w:b/>
          <w:szCs w:val="21"/>
          <w:highlight w:val="none"/>
        </w:rPr>
        <w:t>依据：《建筑市场信用管理暂行办法》（建市〔2017〕241号）</w:t>
      </w:r>
    </w:p>
    <w:p w14:paraId="355A664A">
      <w:pPr>
        <w:spacing w:line="440" w:lineRule="exact"/>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六、政府采购严重失信行为</w:t>
      </w:r>
    </w:p>
    <w:p w14:paraId="545357CE">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供应商、采购代理机构在三年内受到财政部门作出下列情形之一的行政处罚，列入政府采购严重违法失信行为记录名单。</w:t>
      </w:r>
    </w:p>
    <w:p w14:paraId="221D9CA8">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（一）三万元以上罚款；</w:t>
      </w:r>
    </w:p>
    <w:p w14:paraId="11F86973">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（二）在一至三年内禁止参加政府采购活动（处罚期限届满的除外）；</w:t>
      </w:r>
    </w:p>
    <w:p w14:paraId="31B08948">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（三）在一至三年内禁止代理政府采购业务（处罚期限届满的除外）；</w:t>
      </w:r>
    </w:p>
    <w:p w14:paraId="5815CA3D">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（四）撤销政府采购代理机构资格（仅针对《政府采购法》第78条修改前作出的处罚决定）。</w:t>
      </w:r>
    </w:p>
    <w:p w14:paraId="1713D093">
      <w:pPr>
        <w:spacing w:line="440" w:lineRule="exact"/>
        <w:ind w:firstLine="422" w:firstLineChars="200"/>
        <w:jc w:val="left"/>
        <w:rPr>
          <w:rFonts w:hint="eastAsia" w:ascii="宋体" w:hAnsi="宋体" w:eastAsia="宋体" w:cs="宋体"/>
          <w:szCs w:val="21"/>
          <w:highlight w:val="none"/>
        </w:rPr>
      </w:pPr>
      <w:r>
        <w:rPr>
          <w:rFonts w:hint="eastAsia" w:ascii="宋体" w:hAnsi="宋体" w:eastAsia="宋体" w:cs="宋体"/>
          <w:b/>
          <w:bCs/>
          <w:szCs w:val="21"/>
          <w:highlight w:val="none"/>
        </w:rPr>
        <w:t>依据：《关于报送政府采购严重违法失信行为信息记录的通知》</w:t>
      </w:r>
      <w:r>
        <w:rPr>
          <w:rFonts w:hint="eastAsia" w:ascii="宋体" w:hAnsi="宋体" w:eastAsia="宋体" w:cs="宋体"/>
          <w:b/>
          <w:szCs w:val="21"/>
          <w:highlight w:val="none"/>
        </w:rPr>
        <w:t>（财办库〔2014〕526号）</w:t>
      </w:r>
    </w:p>
    <w:p w14:paraId="78102E3F">
      <w:pPr>
        <w:spacing w:line="44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七、水利建设领域严重失信行为</w:t>
      </w:r>
    </w:p>
    <w:p w14:paraId="1E42B44A">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（一）1年内不良行为记录累计扣分达到20分的；</w:t>
      </w:r>
    </w:p>
    <w:p w14:paraId="17806F9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（二）"重点关注名单"公开期满后仍不整改的；</w:t>
      </w:r>
    </w:p>
    <w:p w14:paraId="6B823FB9">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（三）存在以下严重危害人民群众身体健康、生命安全和工程质量，以及特别严重违规行为之一的：</w:t>
      </w:r>
    </w:p>
    <w:p w14:paraId="3168FF23">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1.发生重大、特大质量或安全事故，并负有直接责任的；</w:t>
      </w:r>
    </w:p>
    <w:p w14:paraId="415D55DD">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2.在单位公开信息、工程相关技术成果和工程建设过程中隐瞒真实情况、弄虚作假，提供虚假材料，谋取不正当利益的；</w:t>
      </w:r>
    </w:p>
    <w:p w14:paraId="28EB9E3E">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3.违反有关法律、法规、规章、政策、技术标准、设计文件、合同等有关规定开展工作造成的工程质量问题，经处理后仍影响工程正常使用或减少工程使用寿命的；</w:t>
      </w:r>
    </w:p>
    <w:p w14:paraId="321482E7">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4.违反规定施工，造成生态环境严重破坏且拒不修复的；</w:t>
      </w:r>
    </w:p>
    <w:p w14:paraId="113FBE19">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5.被证实恶意制造工程质量缺陷或质量隐患的；</w:t>
      </w:r>
    </w:p>
    <w:p w14:paraId="1FC7075B">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6.其他违反法律法规，造成严重后果或社会危害较大的。</w:t>
      </w:r>
    </w:p>
    <w:p w14:paraId="29C174A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（四）存在以下严重破坏市场公平竞争秩序和社会正常秩序行为之一的：</w:t>
      </w:r>
    </w:p>
    <w:p w14:paraId="3660262B">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1.不按合同约定，恶意拖欠承包人项目款的；</w:t>
      </w:r>
    </w:p>
    <w:p w14:paraId="1429256A">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2.隐瞒有关情况或者提供虚假材料申请资质的，在全国水利建设市场监管服务平台公开虚假信息的，以欺骗、贿赂等不正当手段取得资质等级证书的；</w:t>
      </w:r>
    </w:p>
    <w:p w14:paraId="37B2D3F3">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3.出借、借用资质证书,允许他人以本单位名义或借用他人名义等弄虚作假方式承揽业务的；</w:t>
      </w:r>
    </w:p>
    <w:p w14:paraId="0A32EE33">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4.未取得相应资质或超越资质证书核定范围承揽业务的；</w:t>
      </w:r>
    </w:p>
    <w:p w14:paraId="4F31E9D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5.操纵招标过程，谋取不正当利益的；</w:t>
      </w:r>
    </w:p>
    <w:p w14:paraId="3407B58B">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6.与招标人或投标人串通投标的；</w:t>
      </w:r>
    </w:p>
    <w:p w14:paraId="654608AE">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7.以向招标人或评标委员会成员行贿的手段谋取中标的；</w:t>
      </w:r>
    </w:p>
    <w:p w14:paraId="2046F94D">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8.中标后，无正当理由不签订合同的；</w:t>
      </w:r>
    </w:p>
    <w:p w14:paraId="456810AB">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9.转包或违法分包所承揽业务的；</w:t>
      </w:r>
    </w:p>
    <w:p w14:paraId="6C19BA2A">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10.弄虚作假，以欺诈手段降低工程或设备质量的；</w:t>
      </w:r>
    </w:p>
    <w:p w14:paraId="248561D7">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11.单位行贿、受贿，受到刑事处罚的；</w:t>
      </w:r>
    </w:p>
    <w:p w14:paraId="4F9EDFB7">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12.逃税骗税、恶意逃废债务的；</w:t>
      </w:r>
    </w:p>
    <w:p w14:paraId="5A36575E">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13.参与非法集资，受到刑事处罚的；</w:t>
      </w:r>
    </w:p>
    <w:p w14:paraId="1D56B1ED">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14.在签订、履行合同过程中，存在合同欺诈行为，受到刑事处罚的；</w:t>
      </w:r>
    </w:p>
    <w:p w14:paraId="63697C8B">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15.虚构工程项目，套取资金的；</w:t>
      </w:r>
    </w:p>
    <w:p w14:paraId="4E956236">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16.克扣、无故拖欠农民工工资报酬，数额达到认定拒不支付劳动报酬罪数额标准的；</w:t>
      </w:r>
    </w:p>
    <w:p w14:paraId="0BF88B33">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17.发生社会公共事件，影响较大，并负有直接责任的。</w:t>
      </w:r>
    </w:p>
    <w:p w14:paraId="148F439F">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（五）存在以下拒不履行法定义务，严重影响司法机关、行政机关公信力行为之一的：</w:t>
      </w:r>
    </w:p>
    <w:p w14:paraId="1E9C5303">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1.发生事故拒绝接受调查或拒绝提供有关资料的；</w:t>
      </w:r>
    </w:p>
    <w:p w14:paraId="11E544CE">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2.拒不执行生效的行政处罚决定的；</w:t>
      </w:r>
    </w:p>
    <w:p w14:paraId="7720F4FB">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3.拒不执行仲裁、法院判决结果的。</w:t>
      </w:r>
    </w:p>
    <w:p w14:paraId="36FC1F35">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（六）被相关联合惩戒部门列入"黑名单"，符合联合惩戒措施的。</w:t>
      </w:r>
    </w:p>
    <w:p w14:paraId="4835B17D">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生产建设项目水土保持市场主体"黑名单"列入标准见《水利建设市场主体信用信息管理办法》附件。</w:t>
      </w:r>
    </w:p>
    <w:p w14:paraId="1A408742">
      <w:pPr>
        <w:spacing w:line="44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依据：《水利建设市场主体信用评价管理办法》水建设〔2019〕307号、《水利建设市场主体信用信息管理办法》水建设〔2019〕306号</w:t>
      </w:r>
    </w:p>
    <w:p w14:paraId="5FF6068A">
      <w:pPr>
        <w:spacing w:line="44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未列出的其他类别严重失信行为，由招标人（代理机构）根据各类别行业主管部门下发的联合惩戒文件进行判断。</w:t>
      </w:r>
    </w:p>
    <w:p w14:paraId="079F39A6">
      <w:pPr>
        <w:spacing w:line="360" w:lineRule="exact"/>
        <w:ind w:firstLine="615"/>
        <w:rPr>
          <w:rFonts w:hint="eastAsia" w:ascii="宋体" w:hAnsi="宋体" w:eastAsia="宋体" w:cs="宋体"/>
          <w:b/>
          <w:szCs w:val="21"/>
          <w:highlight w:val="none"/>
        </w:rPr>
      </w:pPr>
    </w:p>
    <w:p w14:paraId="23B72853">
      <w:pPr>
        <w:spacing w:line="360" w:lineRule="exact"/>
        <w:ind w:firstLine="568" w:firstLineChars="202"/>
        <w:rPr>
          <w:rFonts w:hint="eastAsia" w:ascii="宋体" w:hAnsi="宋体" w:eastAsia="宋体" w:cs="宋体"/>
          <w:b/>
          <w:sz w:val="28"/>
          <w:szCs w:val="28"/>
          <w:highlight w:val="none"/>
        </w:rPr>
      </w:pPr>
    </w:p>
    <w:p w14:paraId="1344BA1A">
      <w:pPr>
        <w:spacing w:line="360" w:lineRule="exact"/>
        <w:rPr>
          <w:rFonts w:hint="eastAsia" w:asciiTheme="minorEastAsia" w:hAnsiTheme="minorEastAsia" w:eastAsiaTheme="minorEastAsia"/>
          <w:sz w:val="24"/>
          <w:highlight w:val="none"/>
        </w:rPr>
      </w:pPr>
    </w:p>
    <w:sectPr>
      <w:headerReference r:id="rId3" w:type="default"/>
      <w:footerReference r:id="rId4" w:type="default"/>
      <w:pgSz w:w="11906" w:h="16838"/>
      <w:pgMar w:top="1134" w:right="1417" w:bottom="1134" w:left="1417"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15DCAF5-D12A-40B1-A490-D1F6559668CC}"/>
  </w:font>
  <w:font w:name="Arial">
    <w:panose1 w:val="020B0604020202020204"/>
    <w:charset w:val="01"/>
    <w:family w:val="swiss"/>
    <w:pitch w:val="default"/>
    <w:sig w:usb0="E0002AFF" w:usb1="C0007843" w:usb2="00000009" w:usb3="00000000" w:csb0="400001FF" w:csb1="FFFF0000"/>
    <w:embedRegular r:id="rId2" w:fontKey="{43C59EED-796B-4FCA-8C4E-58A7E408AFDC}"/>
  </w:font>
  <w:font w:name="黑体">
    <w:panose1 w:val="02010609060101010101"/>
    <w:charset w:val="86"/>
    <w:family w:val="auto"/>
    <w:pitch w:val="default"/>
    <w:sig w:usb0="800002BF" w:usb1="38CF7CFA" w:usb2="00000016" w:usb3="00000000" w:csb0="00040001" w:csb1="00000000"/>
    <w:embedRegular r:id="rId3" w:fontKey="{C80F12A9-7991-40B7-806D-B4E322AA0D1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64B52570-B9D2-4EB3-B33D-AC471A044B92}"/>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5" w:fontKey="{786E5768-6115-48C4-8536-3A40ED29CF05}"/>
  </w:font>
  <w:font w:name="华文中宋">
    <w:panose1 w:val="02010600040101010101"/>
    <w:charset w:val="86"/>
    <w:family w:val="auto"/>
    <w:pitch w:val="default"/>
    <w:sig w:usb0="00000287" w:usb1="080F0000" w:usb2="00000000" w:usb3="00000000" w:csb0="0004009F" w:csb1="DFD70000"/>
    <w:embedRegular r:id="rId6" w:fontKey="{085AD86D-4C8C-495D-A6D6-A264C8B22EC6}"/>
  </w:font>
  <w:font w:name="仿宋">
    <w:panose1 w:val="02010609060101010101"/>
    <w:charset w:val="86"/>
    <w:family w:val="modern"/>
    <w:pitch w:val="default"/>
    <w:sig w:usb0="800002BF" w:usb1="38CF7CFA" w:usb2="00000016" w:usb3="00000000" w:csb0="00040001" w:csb1="00000000"/>
    <w:embedRegular r:id="rId7" w:fontKey="{C279EE0F-686F-44E6-98B1-8FC844A5B6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74E0">
    <w:pPr>
      <w:pStyle w:val="15"/>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EAD62">
                          <w:pPr>
                            <w:pStyle w:val="1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60</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84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A9EAD62">
                    <w:pPr>
                      <w:pStyle w:val="1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60</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84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EDA67">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FFEFC674"/>
    <w:multiLevelType w:val="singleLevel"/>
    <w:tmpl w:val="FFEFC674"/>
    <w:lvl w:ilvl="0" w:tentative="0">
      <w:start w:val="1"/>
      <w:numFmt w:val="decimal"/>
      <w:suff w:val="nothing"/>
      <w:lvlText w:val="（%1）"/>
      <w:lvlJc w:val="left"/>
    </w:lvl>
  </w:abstractNum>
  <w:abstractNum w:abstractNumId="5">
    <w:nsid w:val="7A0F6431"/>
    <w:multiLevelType w:val="singleLevel"/>
    <w:tmpl w:val="7A0F6431"/>
    <w:lvl w:ilvl="0" w:tentative="0">
      <w:start w:val="1"/>
      <w:numFmt w:val="decimal"/>
      <w:suff w:val="space"/>
      <w:lvlText w:val="%1."/>
      <w:lvlJc w:val="left"/>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xODk2ZTA2MzllZThmNjhmMjk3MWRlZTFmNzdjOGMifQ=="/>
  </w:docVars>
  <w:rsids>
    <w:rsidRoot w:val="00172A27"/>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1CD9"/>
    <w:rsid w:val="000942BA"/>
    <w:rsid w:val="00094D41"/>
    <w:rsid w:val="00097CB9"/>
    <w:rsid w:val="000A3569"/>
    <w:rsid w:val="000A4640"/>
    <w:rsid w:val="000A6345"/>
    <w:rsid w:val="000A6693"/>
    <w:rsid w:val="000A6B73"/>
    <w:rsid w:val="000A7D94"/>
    <w:rsid w:val="000B1511"/>
    <w:rsid w:val="000B299D"/>
    <w:rsid w:val="000B54F4"/>
    <w:rsid w:val="000C160A"/>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2A27"/>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2F59"/>
    <w:rsid w:val="002049B4"/>
    <w:rsid w:val="0020520B"/>
    <w:rsid w:val="002105EC"/>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35C6"/>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25EFE"/>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2B33"/>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E7258"/>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A25AC"/>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1401F0"/>
    <w:rsid w:val="017B1BF9"/>
    <w:rsid w:val="018362EB"/>
    <w:rsid w:val="019F5A3A"/>
    <w:rsid w:val="01E93A1B"/>
    <w:rsid w:val="0214602E"/>
    <w:rsid w:val="03486B27"/>
    <w:rsid w:val="03600692"/>
    <w:rsid w:val="04025BED"/>
    <w:rsid w:val="040A094E"/>
    <w:rsid w:val="04485C72"/>
    <w:rsid w:val="047800D0"/>
    <w:rsid w:val="056F201D"/>
    <w:rsid w:val="05B664D4"/>
    <w:rsid w:val="064B485A"/>
    <w:rsid w:val="06565D7C"/>
    <w:rsid w:val="068C65C4"/>
    <w:rsid w:val="06D373CC"/>
    <w:rsid w:val="07076C01"/>
    <w:rsid w:val="071C12AC"/>
    <w:rsid w:val="0733098F"/>
    <w:rsid w:val="07A934B3"/>
    <w:rsid w:val="07CC1E55"/>
    <w:rsid w:val="07EB6287"/>
    <w:rsid w:val="0806421B"/>
    <w:rsid w:val="08C23147"/>
    <w:rsid w:val="0980799C"/>
    <w:rsid w:val="098826F0"/>
    <w:rsid w:val="09944B8E"/>
    <w:rsid w:val="0A540824"/>
    <w:rsid w:val="0A682522"/>
    <w:rsid w:val="0A6A18DB"/>
    <w:rsid w:val="0A975B48"/>
    <w:rsid w:val="0AEF3828"/>
    <w:rsid w:val="0AF4496B"/>
    <w:rsid w:val="0B406381"/>
    <w:rsid w:val="0BB452AA"/>
    <w:rsid w:val="0BBB665B"/>
    <w:rsid w:val="0C4D5E73"/>
    <w:rsid w:val="0CD45C4C"/>
    <w:rsid w:val="0E566631"/>
    <w:rsid w:val="0EEA6FC1"/>
    <w:rsid w:val="0F790928"/>
    <w:rsid w:val="0FFF1786"/>
    <w:rsid w:val="10CD72BB"/>
    <w:rsid w:val="11CC1DC3"/>
    <w:rsid w:val="120F7ADB"/>
    <w:rsid w:val="12197477"/>
    <w:rsid w:val="125C6E10"/>
    <w:rsid w:val="131B5CD3"/>
    <w:rsid w:val="13497394"/>
    <w:rsid w:val="13776448"/>
    <w:rsid w:val="13DD1675"/>
    <w:rsid w:val="1466407E"/>
    <w:rsid w:val="14834E28"/>
    <w:rsid w:val="148E7D65"/>
    <w:rsid w:val="14CE7BA3"/>
    <w:rsid w:val="15231BF9"/>
    <w:rsid w:val="153315A2"/>
    <w:rsid w:val="15C4546D"/>
    <w:rsid w:val="15DC6FD1"/>
    <w:rsid w:val="174806F9"/>
    <w:rsid w:val="17C937EB"/>
    <w:rsid w:val="181635BD"/>
    <w:rsid w:val="19CA28B1"/>
    <w:rsid w:val="1A064976"/>
    <w:rsid w:val="1A3B68AA"/>
    <w:rsid w:val="1A3E1C1E"/>
    <w:rsid w:val="1A6E76E0"/>
    <w:rsid w:val="1A736AA5"/>
    <w:rsid w:val="1AC675D8"/>
    <w:rsid w:val="1AE254F2"/>
    <w:rsid w:val="1B1E2EB4"/>
    <w:rsid w:val="1B6F4F40"/>
    <w:rsid w:val="1B9A1063"/>
    <w:rsid w:val="1C141836"/>
    <w:rsid w:val="1C76537D"/>
    <w:rsid w:val="1D7C0366"/>
    <w:rsid w:val="1D816519"/>
    <w:rsid w:val="1D8553DE"/>
    <w:rsid w:val="1D921938"/>
    <w:rsid w:val="1E6B6A14"/>
    <w:rsid w:val="1EA16890"/>
    <w:rsid w:val="1EB070D8"/>
    <w:rsid w:val="203B1E13"/>
    <w:rsid w:val="20550D9A"/>
    <w:rsid w:val="208C6B12"/>
    <w:rsid w:val="20E82E74"/>
    <w:rsid w:val="215313DE"/>
    <w:rsid w:val="218E2416"/>
    <w:rsid w:val="21BE791C"/>
    <w:rsid w:val="226915FE"/>
    <w:rsid w:val="235659E9"/>
    <w:rsid w:val="23C00B1E"/>
    <w:rsid w:val="241804A5"/>
    <w:rsid w:val="24A26A06"/>
    <w:rsid w:val="24B97929"/>
    <w:rsid w:val="24D632D7"/>
    <w:rsid w:val="25BD30F9"/>
    <w:rsid w:val="25C74149"/>
    <w:rsid w:val="25E44CFA"/>
    <w:rsid w:val="27BD5803"/>
    <w:rsid w:val="27D65DBA"/>
    <w:rsid w:val="27F04547"/>
    <w:rsid w:val="285F40CA"/>
    <w:rsid w:val="289E1AF0"/>
    <w:rsid w:val="28C01ECB"/>
    <w:rsid w:val="28C50E13"/>
    <w:rsid w:val="29514CAB"/>
    <w:rsid w:val="29BA2022"/>
    <w:rsid w:val="29BF71E3"/>
    <w:rsid w:val="29D6387F"/>
    <w:rsid w:val="2A127B63"/>
    <w:rsid w:val="2A451A6C"/>
    <w:rsid w:val="2A4C2A5D"/>
    <w:rsid w:val="2A944F41"/>
    <w:rsid w:val="2AAA4765"/>
    <w:rsid w:val="2AC21606"/>
    <w:rsid w:val="2B0A11CD"/>
    <w:rsid w:val="2B5E10AB"/>
    <w:rsid w:val="2B7E7608"/>
    <w:rsid w:val="2B7F04E9"/>
    <w:rsid w:val="2B8B554A"/>
    <w:rsid w:val="2D496D68"/>
    <w:rsid w:val="2E7A48DE"/>
    <w:rsid w:val="2EBA5177"/>
    <w:rsid w:val="2EC62ED0"/>
    <w:rsid w:val="2EDC3ED8"/>
    <w:rsid w:val="2F104B00"/>
    <w:rsid w:val="2F600CC5"/>
    <w:rsid w:val="2F6351B4"/>
    <w:rsid w:val="2FC86126"/>
    <w:rsid w:val="2FCF199E"/>
    <w:rsid w:val="30483E83"/>
    <w:rsid w:val="30BF3991"/>
    <w:rsid w:val="3111619A"/>
    <w:rsid w:val="313B58DE"/>
    <w:rsid w:val="31B139DC"/>
    <w:rsid w:val="321D3A6E"/>
    <w:rsid w:val="32497AF3"/>
    <w:rsid w:val="341C6C43"/>
    <w:rsid w:val="343C0775"/>
    <w:rsid w:val="356C50EC"/>
    <w:rsid w:val="360B47D5"/>
    <w:rsid w:val="36137E45"/>
    <w:rsid w:val="362D1ADB"/>
    <w:rsid w:val="36376E0A"/>
    <w:rsid w:val="36E63FE1"/>
    <w:rsid w:val="3700166C"/>
    <w:rsid w:val="379A1012"/>
    <w:rsid w:val="37F065A7"/>
    <w:rsid w:val="38694EE9"/>
    <w:rsid w:val="393164C5"/>
    <w:rsid w:val="39BD5B88"/>
    <w:rsid w:val="3A6818FA"/>
    <w:rsid w:val="3AE7720F"/>
    <w:rsid w:val="3B171B9C"/>
    <w:rsid w:val="3B365CC9"/>
    <w:rsid w:val="3B53405D"/>
    <w:rsid w:val="3B9A7B88"/>
    <w:rsid w:val="3BBE337E"/>
    <w:rsid w:val="3C6F52CE"/>
    <w:rsid w:val="3CF751BE"/>
    <w:rsid w:val="3D13628F"/>
    <w:rsid w:val="3D2C7AC8"/>
    <w:rsid w:val="3D855D12"/>
    <w:rsid w:val="3D8B42FF"/>
    <w:rsid w:val="3DE86C4C"/>
    <w:rsid w:val="3DF36A6E"/>
    <w:rsid w:val="3E676A38"/>
    <w:rsid w:val="3EBA1EE9"/>
    <w:rsid w:val="3ED74D1D"/>
    <w:rsid w:val="3EE14075"/>
    <w:rsid w:val="3F792F1E"/>
    <w:rsid w:val="40824826"/>
    <w:rsid w:val="40C8541A"/>
    <w:rsid w:val="40E63923"/>
    <w:rsid w:val="40FC2486"/>
    <w:rsid w:val="41AD4111"/>
    <w:rsid w:val="41EF7EDC"/>
    <w:rsid w:val="43130D8E"/>
    <w:rsid w:val="43A26FE5"/>
    <w:rsid w:val="43A91E5B"/>
    <w:rsid w:val="43B663BC"/>
    <w:rsid w:val="440B67ED"/>
    <w:rsid w:val="449E0D39"/>
    <w:rsid w:val="45812442"/>
    <w:rsid w:val="45E32B26"/>
    <w:rsid w:val="4607445E"/>
    <w:rsid w:val="463A3650"/>
    <w:rsid w:val="46461627"/>
    <w:rsid w:val="469F0116"/>
    <w:rsid w:val="475259B7"/>
    <w:rsid w:val="48606F05"/>
    <w:rsid w:val="488302AE"/>
    <w:rsid w:val="48831CF9"/>
    <w:rsid w:val="49024C9C"/>
    <w:rsid w:val="492D1203"/>
    <w:rsid w:val="49606345"/>
    <w:rsid w:val="49B1408D"/>
    <w:rsid w:val="49D54430"/>
    <w:rsid w:val="4A706397"/>
    <w:rsid w:val="4A7D4FD2"/>
    <w:rsid w:val="4A913C9A"/>
    <w:rsid w:val="4B1F70AC"/>
    <w:rsid w:val="4B240F94"/>
    <w:rsid w:val="4BD90914"/>
    <w:rsid w:val="4C0832E5"/>
    <w:rsid w:val="4C3C0B3D"/>
    <w:rsid w:val="4C3C565C"/>
    <w:rsid w:val="4C623771"/>
    <w:rsid w:val="4CCC79C7"/>
    <w:rsid w:val="4D7555C7"/>
    <w:rsid w:val="4E257ADB"/>
    <w:rsid w:val="4EAE6DA0"/>
    <w:rsid w:val="4EFF657E"/>
    <w:rsid w:val="4FE617D9"/>
    <w:rsid w:val="50016325"/>
    <w:rsid w:val="5016514B"/>
    <w:rsid w:val="50673189"/>
    <w:rsid w:val="507C332C"/>
    <w:rsid w:val="50BD4DF3"/>
    <w:rsid w:val="50FC1A26"/>
    <w:rsid w:val="51005F5C"/>
    <w:rsid w:val="515521C4"/>
    <w:rsid w:val="51723664"/>
    <w:rsid w:val="51CB1C78"/>
    <w:rsid w:val="51E00FE7"/>
    <w:rsid w:val="51FD6A51"/>
    <w:rsid w:val="52650DED"/>
    <w:rsid w:val="526B680A"/>
    <w:rsid w:val="52836F71"/>
    <w:rsid w:val="52C45BDC"/>
    <w:rsid w:val="52D26B02"/>
    <w:rsid w:val="52DE680B"/>
    <w:rsid w:val="541A5D30"/>
    <w:rsid w:val="54844C5C"/>
    <w:rsid w:val="54A675D4"/>
    <w:rsid w:val="55C1559C"/>
    <w:rsid w:val="55D43B94"/>
    <w:rsid w:val="55F068CD"/>
    <w:rsid w:val="563C1E65"/>
    <w:rsid w:val="566C3136"/>
    <w:rsid w:val="568D04F2"/>
    <w:rsid w:val="56F13CF6"/>
    <w:rsid w:val="570F59DE"/>
    <w:rsid w:val="58531C8C"/>
    <w:rsid w:val="590F24B4"/>
    <w:rsid w:val="5A526582"/>
    <w:rsid w:val="5A5F5C77"/>
    <w:rsid w:val="5A6851BD"/>
    <w:rsid w:val="5A711A0D"/>
    <w:rsid w:val="5A7C6920"/>
    <w:rsid w:val="5B1613E4"/>
    <w:rsid w:val="5B78003B"/>
    <w:rsid w:val="5BC11A60"/>
    <w:rsid w:val="5C7A4D54"/>
    <w:rsid w:val="5CD23B73"/>
    <w:rsid w:val="5DA5363E"/>
    <w:rsid w:val="5EB97DCB"/>
    <w:rsid w:val="5F127819"/>
    <w:rsid w:val="60350ED3"/>
    <w:rsid w:val="60B72AEE"/>
    <w:rsid w:val="60D64C64"/>
    <w:rsid w:val="61025188"/>
    <w:rsid w:val="61057D5F"/>
    <w:rsid w:val="6147743D"/>
    <w:rsid w:val="614D4977"/>
    <w:rsid w:val="61541081"/>
    <w:rsid w:val="6176084F"/>
    <w:rsid w:val="62013A86"/>
    <w:rsid w:val="6232236E"/>
    <w:rsid w:val="62483940"/>
    <w:rsid w:val="62505E40"/>
    <w:rsid w:val="625844A2"/>
    <w:rsid w:val="62882E1F"/>
    <w:rsid w:val="630F54BB"/>
    <w:rsid w:val="63B56B9F"/>
    <w:rsid w:val="63C60FC0"/>
    <w:rsid w:val="63CD4D9A"/>
    <w:rsid w:val="63DA5C00"/>
    <w:rsid w:val="64BA3D7A"/>
    <w:rsid w:val="64F179BC"/>
    <w:rsid w:val="665704D3"/>
    <w:rsid w:val="67C065A4"/>
    <w:rsid w:val="67D359C9"/>
    <w:rsid w:val="68042537"/>
    <w:rsid w:val="68490412"/>
    <w:rsid w:val="68FE36DD"/>
    <w:rsid w:val="694E60FC"/>
    <w:rsid w:val="69CC27A2"/>
    <w:rsid w:val="69FF75C0"/>
    <w:rsid w:val="6A0445F0"/>
    <w:rsid w:val="6A256904"/>
    <w:rsid w:val="6A885221"/>
    <w:rsid w:val="6AE50633"/>
    <w:rsid w:val="6B656832"/>
    <w:rsid w:val="6C675CE6"/>
    <w:rsid w:val="6CEA5E19"/>
    <w:rsid w:val="6D1E4965"/>
    <w:rsid w:val="6D4F4321"/>
    <w:rsid w:val="6DF41B82"/>
    <w:rsid w:val="6DFF7360"/>
    <w:rsid w:val="6E181B23"/>
    <w:rsid w:val="6E5B49FB"/>
    <w:rsid w:val="6E625D89"/>
    <w:rsid w:val="6E7A5F73"/>
    <w:rsid w:val="6EE90F9D"/>
    <w:rsid w:val="6F040130"/>
    <w:rsid w:val="6FD74228"/>
    <w:rsid w:val="6FFD045F"/>
    <w:rsid w:val="7021106F"/>
    <w:rsid w:val="71633091"/>
    <w:rsid w:val="729753A9"/>
    <w:rsid w:val="72A746B3"/>
    <w:rsid w:val="73081CA5"/>
    <w:rsid w:val="74201F7D"/>
    <w:rsid w:val="742B2F40"/>
    <w:rsid w:val="743C0E2B"/>
    <w:rsid w:val="7487762D"/>
    <w:rsid w:val="749F6CCB"/>
    <w:rsid w:val="74C33AA4"/>
    <w:rsid w:val="74EC2851"/>
    <w:rsid w:val="75210D7A"/>
    <w:rsid w:val="75385498"/>
    <w:rsid w:val="75F37776"/>
    <w:rsid w:val="76294606"/>
    <w:rsid w:val="769B6B10"/>
    <w:rsid w:val="76A45F0D"/>
    <w:rsid w:val="76BC207F"/>
    <w:rsid w:val="76EB4904"/>
    <w:rsid w:val="77156AC5"/>
    <w:rsid w:val="77640DC4"/>
    <w:rsid w:val="77645DCD"/>
    <w:rsid w:val="777378F5"/>
    <w:rsid w:val="777A2D3C"/>
    <w:rsid w:val="77CB7618"/>
    <w:rsid w:val="78AF7034"/>
    <w:rsid w:val="79074B81"/>
    <w:rsid w:val="794F0939"/>
    <w:rsid w:val="795F1843"/>
    <w:rsid w:val="79AF0FCA"/>
    <w:rsid w:val="7AF9279C"/>
    <w:rsid w:val="7B7A2964"/>
    <w:rsid w:val="7BD647CE"/>
    <w:rsid w:val="7CC51958"/>
    <w:rsid w:val="7CD53DF9"/>
    <w:rsid w:val="7D097C86"/>
    <w:rsid w:val="7E022F1A"/>
    <w:rsid w:val="7E2936C3"/>
    <w:rsid w:val="7E6411B9"/>
    <w:rsid w:val="7E873EFC"/>
    <w:rsid w:val="7ECF2FC7"/>
    <w:rsid w:val="7EFE38AC"/>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autoRedefine/>
    <w:qFormat/>
    <w:uiPriority w:val="0"/>
    <w:pPr>
      <w:keepNext/>
      <w:keepLines/>
      <w:spacing w:before="280" w:after="290" w:line="376" w:lineRule="auto"/>
      <w:outlineLvl w:val="3"/>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等线" w:eastAsia="等线"/>
      <w:sz w:val="18"/>
      <w:szCs w:val="18"/>
    </w:r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7"/>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7"/>
    <w:autoRedefine/>
    <w:qFormat/>
    <w:uiPriority w:val="99"/>
    <w:rPr>
      <w:rFonts w:ascii="宋体" w:hAnsi="Courier New" w:eastAsiaTheme="minorEastAsia" w:cstheme="minorBidi"/>
      <w:szCs w:val="22"/>
    </w:rPr>
  </w:style>
  <w:style w:type="paragraph" w:styleId="13">
    <w:name w:val="Date"/>
    <w:basedOn w:val="1"/>
    <w:next w:val="1"/>
    <w:link w:val="54"/>
    <w:autoRedefine/>
    <w:qFormat/>
    <w:uiPriority w:val="0"/>
    <w:rPr>
      <w:rFonts w:ascii="Arial" w:hAnsi="Arial" w:eastAsia="宋体" w:cs="Arial"/>
      <w:b/>
      <w:sz w:val="28"/>
    </w:rPr>
  </w:style>
  <w:style w:type="paragraph" w:styleId="14">
    <w:name w:val="Balloon Text"/>
    <w:basedOn w:val="1"/>
    <w:link w:val="41"/>
    <w:autoRedefine/>
    <w:semiHidden/>
    <w:unhideWhenUsed/>
    <w:qFormat/>
    <w:uiPriority w:val="99"/>
    <w:rPr>
      <w:sz w:val="18"/>
      <w:szCs w:val="18"/>
    </w:rPr>
  </w:style>
  <w:style w:type="paragraph" w:styleId="15">
    <w:name w:val="footer"/>
    <w:basedOn w:val="1"/>
    <w:link w:val="46"/>
    <w:autoRedefine/>
    <w:unhideWhenUsed/>
    <w:qFormat/>
    <w:uiPriority w:val="99"/>
    <w:pPr>
      <w:tabs>
        <w:tab w:val="center" w:pos="4153"/>
        <w:tab w:val="right" w:pos="8306"/>
      </w:tabs>
      <w:snapToGrid w:val="0"/>
      <w:jc w:val="left"/>
    </w:pPr>
    <w:rPr>
      <w:sz w:val="18"/>
      <w:szCs w:val="18"/>
    </w:rPr>
  </w:style>
  <w:style w:type="paragraph" w:styleId="16">
    <w:name w:val="envelope return"/>
    <w:basedOn w:val="1"/>
    <w:next w:val="6"/>
    <w:autoRedefine/>
    <w:qFormat/>
    <w:uiPriority w:val="0"/>
    <w:pPr>
      <w:snapToGrid w:val="0"/>
    </w:pPr>
    <w:rPr>
      <w:rFonts w:ascii="Arial" w:hAnsi="Arial"/>
    </w:rPr>
  </w:style>
  <w:style w:type="paragraph" w:styleId="17">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autoRedefine/>
    <w:qFormat/>
    <w:uiPriority w:val="0"/>
    <w:pPr>
      <w:spacing w:before="100" w:beforeAutospacing="1" w:after="100" w:afterAutospacing="1"/>
      <w:jc w:val="left"/>
    </w:pPr>
    <w:rPr>
      <w:rFonts w:cs="Times New Roman"/>
      <w:kern w:val="0"/>
      <w:sz w:val="24"/>
    </w:rPr>
  </w:style>
  <w:style w:type="paragraph" w:styleId="21">
    <w:name w:val="index 1"/>
    <w:basedOn w:val="1"/>
    <w:next w:val="1"/>
    <w:autoRedefine/>
    <w:qFormat/>
    <w:uiPriority w:val="0"/>
    <w:pPr>
      <w:jc w:val="center"/>
    </w:pPr>
    <w:rPr>
      <w:rFonts w:ascii="Arial" w:hAnsi="Arial" w:eastAsia="Arial" w:cs="Arial"/>
      <w:b/>
      <w:bCs/>
      <w:sz w:val="28"/>
    </w:rPr>
  </w:style>
  <w:style w:type="paragraph" w:styleId="22">
    <w:name w:val="annotation subject"/>
    <w:basedOn w:val="8"/>
    <w:next w:val="8"/>
    <w:link w:val="68"/>
    <w:autoRedefine/>
    <w:semiHidden/>
    <w:unhideWhenUsed/>
    <w:qFormat/>
    <w:uiPriority w:val="99"/>
    <w:rPr>
      <w:rFonts w:ascii="@仿宋_GB2312" w:hAnsi="@仿宋_GB2312" w:eastAsia="@仿宋_GB2312" w:cs="@仿宋_GB2312"/>
      <w:b/>
      <w:bCs/>
    </w:rPr>
  </w:style>
  <w:style w:type="paragraph" w:styleId="23">
    <w:name w:val="Body Text First Indent"/>
    <w:basedOn w:val="9"/>
    <w:autoRedefine/>
    <w:unhideWhenUsed/>
    <w:qFormat/>
    <w:uiPriority w:val="99"/>
    <w:pPr>
      <w:ind w:firstLine="420" w:firstLineChars="100"/>
    </w:pPr>
  </w:style>
  <w:style w:type="paragraph" w:styleId="24">
    <w:name w:val="Body Text First Indent 2"/>
    <w:basedOn w:val="10"/>
    <w:next w:val="23"/>
    <w:autoRedefine/>
    <w:qFormat/>
    <w:uiPriority w:val="0"/>
    <w:pPr>
      <w:ind w:firstLine="420" w:firstLineChars="200"/>
    </w:pPr>
  </w:style>
  <w:style w:type="table" w:styleId="26">
    <w:name w:val="Table Grid"/>
    <w:basedOn w:val="2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FollowedHyperlink"/>
    <w:basedOn w:val="27"/>
    <w:autoRedefine/>
    <w:semiHidden/>
    <w:unhideWhenUsed/>
    <w:qFormat/>
    <w:uiPriority w:val="99"/>
    <w:rPr>
      <w:color w:val="5C5C5C"/>
      <w:u w:val="none"/>
    </w:rPr>
  </w:style>
  <w:style w:type="character" w:styleId="30">
    <w:name w:val="Emphasis"/>
    <w:basedOn w:val="27"/>
    <w:autoRedefine/>
    <w:qFormat/>
    <w:uiPriority w:val="20"/>
    <w:rPr>
      <w:b/>
      <w:bCs/>
    </w:rPr>
  </w:style>
  <w:style w:type="character" w:styleId="31">
    <w:name w:val="HTML Definition"/>
    <w:basedOn w:val="27"/>
    <w:autoRedefine/>
    <w:semiHidden/>
    <w:unhideWhenUsed/>
    <w:qFormat/>
    <w:uiPriority w:val="99"/>
  </w:style>
  <w:style w:type="character" w:styleId="32">
    <w:name w:val="HTML Typewriter"/>
    <w:basedOn w:val="27"/>
    <w:autoRedefine/>
    <w:semiHidden/>
    <w:unhideWhenUsed/>
    <w:qFormat/>
    <w:uiPriority w:val="99"/>
    <w:rPr>
      <w:rFonts w:hint="default" w:ascii="monospace" w:hAnsi="monospace" w:eastAsia="monospace" w:cs="monospace"/>
      <w:sz w:val="20"/>
    </w:rPr>
  </w:style>
  <w:style w:type="character" w:styleId="33">
    <w:name w:val="HTML Acronym"/>
    <w:basedOn w:val="27"/>
    <w:autoRedefine/>
    <w:semiHidden/>
    <w:unhideWhenUsed/>
    <w:qFormat/>
    <w:uiPriority w:val="99"/>
  </w:style>
  <w:style w:type="character" w:styleId="34">
    <w:name w:val="HTML Variable"/>
    <w:basedOn w:val="27"/>
    <w:autoRedefine/>
    <w:semiHidden/>
    <w:unhideWhenUsed/>
    <w:qFormat/>
    <w:uiPriority w:val="99"/>
  </w:style>
  <w:style w:type="character" w:styleId="35">
    <w:name w:val="Hyperlink"/>
    <w:basedOn w:val="27"/>
    <w:autoRedefine/>
    <w:unhideWhenUsed/>
    <w:qFormat/>
    <w:uiPriority w:val="99"/>
    <w:rPr>
      <w:color w:val="0000FF" w:themeColor="hyperlink"/>
      <w:u w:val="single"/>
      <w14:textFill>
        <w14:solidFill>
          <w14:schemeClr w14:val="hlink"/>
        </w14:solidFill>
      </w14:textFill>
    </w:rPr>
  </w:style>
  <w:style w:type="character" w:styleId="36">
    <w:name w:val="HTML Code"/>
    <w:basedOn w:val="27"/>
    <w:autoRedefine/>
    <w:semiHidden/>
    <w:unhideWhenUsed/>
    <w:qFormat/>
    <w:uiPriority w:val="99"/>
    <w:rPr>
      <w:rFonts w:hint="default" w:ascii="monospace" w:hAnsi="monospace" w:eastAsia="monospace" w:cs="monospace"/>
      <w:sz w:val="20"/>
    </w:rPr>
  </w:style>
  <w:style w:type="character" w:styleId="37">
    <w:name w:val="annotation reference"/>
    <w:basedOn w:val="27"/>
    <w:autoRedefine/>
    <w:semiHidden/>
    <w:unhideWhenUsed/>
    <w:qFormat/>
    <w:uiPriority w:val="99"/>
    <w:rPr>
      <w:sz w:val="21"/>
      <w:szCs w:val="21"/>
    </w:rPr>
  </w:style>
  <w:style w:type="character" w:styleId="38">
    <w:name w:val="HTML Cite"/>
    <w:basedOn w:val="27"/>
    <w:autoRedefine/>
    <w:semiHidden/>
    <w:unhideWhenUsed/>
    <w:qFormat/>
    <w:uiPriority w:val="99"/>
  </w:style>
  <w:style w:type="character" w:styleId="39">
    <w:name w:val="HTML Keyboard"/>
    <w:basedOn w:val="27"/>
    <w:autoRedefine/>
    <w:semiHidden/>
    <w:unhideWhenUsed/>
    <w:qFormat/>
    <w:uiPriority w:val="99"/>
    <w:rPr>
      <w:rFonts w:hint="default" w:ascii="monospace" w:hAnsi="monospace" w:eastAsia="monospace" w:cs="monospace"/>
      <w:sz w:val="20"/>
    </w:rPr>
  </w:style>
  <w:style w:type="character" w:styleId="40">
    <w:name w:val="HTML Sample"/>
    <w:basedOn w:val="27"/>
    <w:autoRedefine/>
    <w:semiHidden/>
    <w:unhideWhenUsed/>
    <w:qFormat/>
    <w:uiPriority w:val="99"/>
    <w:rPr>
      <w:rFonts w:ascii="monospace" w:hAnsi="monospace" w:eastAsia="monospace" w:cs="monospace"/>
    </w:rPr>
  </w:style>
  <w:style w:type="character" w:customStyle="1" w:styleId="41">
    <w:name w:val="批注框文本 字符"/>
    <w:basedOn w:val="27"/>
    <w:link w:val="14"/>
    <w:autoRedefine/>
    <w:semiHidden/>
    <w:qFormat/>
    <w:uiPriority w:val="99"/>
    <w:rPr>
      <w:rFonts w:ascii="@仿宋_GB2312" w:hAnsi="@仿宋_GB2312" w:eastAsia="@仿宋_GB2312" w:cs="@仿宋_GB2312"/>
      <w:sz w:val="18"/>
      <w:szCs w:val="18"/>
    </w:rPr>
  </w:style>
  <w:style w:type="paragraph" w:customStyle="1" w:styleId="4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4">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7"/>
    <w:link w:val="17"/>
    <w:autoRedefine/>
    <w:qFormat/>
    <w:uiPriority w:val="99"/>
    <w:rPr>
      <w:rFonts w:ascii="@仿宋_GB2312" w:hAnsi="@仿宋_GB2312" w:eastAsia="@仿宋_GB2312" w:cs="@仿宋_GB2312"/>
      <w:sz w:val="18"/>
      <w:szCs w:val="18"/>
    </w:rPr>
  </w:style>
  <w:style w:type="character" w:customStyle="1" w:styleId="46">
    <w:name w:val="页脚 字符"/>
    <w:basedOn w:val="27"/>
    <w:link w:val="15"/>
    <w:autoRedefine/>
    <w:qFormat/>
    <w:uiPriority w:val="99"/>
    <w:rPr>
      <w:rFonts w:ascii="@仿宋_GB2312" w:hAnsi="@仿宋_GB2312" w:eastAsia="@仿宋_GB2312" w:cs="@仿宋_GB2312"/>
      <w:sz w:val="18"/>
      <w:szCs w:val="18"/>
    </w:rPr>
  </w:style>
  <w:style w:type="character" w:customStyle="1" w:styleId="47">
    <w:name w:val="纯文本 字符"/>
    <w:link w:val="12"/>
    <w:autoRedefine/>
    <w:qFormat/>
    <w:uiPriority w:val="0"/>
    <w:rPr>
      <w:rFonts w:ascii="宋体" w:hAnsi="Courier New"/>
    </w:rPr>
  </w:style>
  <w:style w:type="character" w:customStyle="1" w:styleId="48">
    <w:name w:val="纯文本 字符1"/>
    <w:basedOn w:val="27"/>
    <w:autoRedefine/>
    <w:semiHidden/>
    <w:qFormat/>
    <w:uiPriority w:val="99"/>
    <w:rPr>
      <w:rFonts w:hAnsi="Courier New" w:cs="Courier New" w:asciiTheme="minorEastAsia"/>
      <w:szCs w:val="20"/>
    </w:rPr>
  </w:style>
  <w:style w:type="character" w:customStyle="1" w:styleId="49">
    <w:name w:val="未处理的提及1"/>
    <w:basedOn w:val="27"/>
    <w:autoRedefine/>
    <w:semiHidden/>
    <w:unhideWhenUsed/>
    <w:qFormat/>
    <w:uiPriority w:val="99"/>
    <w:rPr>
      <w:color w:val="605E5C"/>
      <w:shd w:val="clear" w:color="auto" w:fill="E1DFDD"/>
    </w:rPr>
  </w:style>
  <w:style w:type="paragraph" w:styleId="50">
    <w:name w:val="List Paragraph"/>
    <w:basedOn w:val="1"/>
    <w:autoRedefine/>
    <w:qFormat/>
    <w:uiPriority w:val="34"/>
    <w:pPr>
      <w:ind w:firstLine="420" w:firstLineChars="200"/>
    </w:pPr>
  </w:style>
  <w:style w:type="paragraph" w:customStyle="1" w:styleId="51">
    <w:name w:val="Char Char Char Char Char Char Char1 Char"/>
    <w:basedOn w:val="1"/>
    <w:autoRedefine/>
    <w:qFormat/>
    <w:uiPriority w:val="0"/>
    <w:rPr>
      <w:rFonts w:ascii="Arial" w:hAnsi="Arial" w:eastAsia="宋体" w:cs="Arial"/>
      <w:sz w:val="24"/>
    </w:rPr>
  </w:style>
  <w:style w:type="table" w:customStyle="1" w:styleId="52">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7"/>
    <w:autoRedefine/>
    <w:semiHidden/>
    <w:qFormat/>
    <w:uiPriority w:val="99"/>
    <w:rPr>
      <w:rFonts w:ascii="@仿宋_GB2312" w:hAnsi="@仿宋_GB2312" w:eastAsia="@仿宋_GB2312" w:cs="@仿宋_GB2312"/>
      <w:szCs w:val="20"/>
    </w:rPr>
  </w:style>
  <w:style w:type="character" w:customStyle="1" w:styleId="54">
    <w:name w:val="日期 字符1"/>
    <w:link w:val="13"/>
    <w:autoRedefine/>
    <w:qFormat/>
    <w:uiPriority w:val="0"/>
    <w:rPr>
      <w:rFonts w:ascii="Arial" w:hAnsi="Arial" w:eastAsia="宋体" w:cs="Arial"/>
      <w:b/>
      <w:sz w:val="28"/>
      <w:szCs w:val="20"/>
    </w:rPr>
  </w:style>
  <w:style w:type="character" w:customStyle="1" w:styleId="55">
    <w:name w:val="纯文本 Char1"/>
    <w:autoRedefine/>
    <w:qFormat/>
    <w:locked/>
    <w:uiPriority w:val="99"/>
    <w:rPr>
      <w:rFonts w:ascii="Arial" w:hAnsi="Arial" w:eastAsia="Arial"/>
      <w:kern w:val="2"/>
      <w:sz w:val="21"/>
      <w:lang w:val="en-US" w:eastAsia="zh-CN" w:bidi="ar-SA"/>
    </w:rPr>
  </w:style>
  <w:style w:type="character" w:customStyle="1" w:styleId="56">
    <w:name w:val="批注文字 Char"/>
    <w:basedOn w:val="27"/>
    <w:autoRedefine/>
    <w:semiHidden/>
    <w:qFormat/>
    <w:uiPriority w:val="99"/>
    <w:rPr>
      <w:rFonts w:ascii="@仿宋_GB2312" w:hAnsi="@仿宋_GB2312" w:eastAsia="@仿宋_GB2312" w:cs="@仿宋_GB2312"/>
      <w:szCs w:val="20"/>
    </w:rPr>
  </w:style>
  <w:style w:type="character" w:customStyle="1" w:styleId="57">
    <w:name w:val="批注文字 字符"/>
    <w:link w:val="8"/>
    <w:autoRedefine/>
    <w:qFormat/>
    <w:uiPriority w:val="0"/>
    <w:rPr>
      <w:rFonts w:ascii="Arial" w:hAnsi="Arial" w:eastAsia="黑体" w:cs="Arial"/>
      <w:szCs w:val="20"/>
    </w:rPr>
  </w:style>
  <w:style w:type="character" w:customStyle="1" w:styleId="58">
    <w:name w:val="标题 1 字符"/>
    <w:basedOn w:val="27"/>
    <w:link w:val="2"/>
    <w:autoRedefine/>
    <w:qFormat/>
    <w:uiPriority w:val="9"/>
    <w:rPr>
      <w:rFonts w:ascii="@仿宋_GB2312" w:hAnsi="@仿宋_GB2312" w:eastAsia="@仿宋_GB2312" w:cs="@仿宋_GB2312"/>
      <w:b/>
      <w:bCs/>
      <w:kern w:val="44"/>
      <w:sz w:val="44"/>
      <w:szCs w:val="44"/>
    </w:rPr>
  </w:style>
  <w:style w:type="paragraph" w:customStyle="1" w:styleId="5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字符"/>
    <w:basedOn w:val="27"/>
    <w:link w:val="4"/>
    <w:autoRedefine/>
    <w:semiHidden/>
    <w:qFormat/>
    <w:uiPriority w:val="9"/>
    <w:rPr>
      <w:rFonts w:ascii="@仿宋_GB2312" w:hAnsi="@仿宋_GB2312" w:eastAsia="@仿宋_GB2312" w:cs="@仿宋_GB2312"/>
      <w:b/>
      <w:bCs/>
      <w:sz w:val="32"/>
      <w:szCs w:val="32"/>
    </w:rPr>
  </w:style>
  <w:style w:type="character" w:customStyle="1" w:styleId="61">
    <w:name w:val="fontstyle01"/>
    <w:basedOn w:val="27"/>
    <w:autoRedefine/>
    <w:qFormat/>
    <w:uiPriority w:val="0"/>
    <w:rPr>
      <w:rFonts w:hint="eastAsia" w:ascii="宋体" w:hAnsi="宋体" w:eastAsia="宋体"/>
      <w:color w:val="000000"/>
      <w:sz w:val="22"/>
      <w:szCs w:val="22"/>
    </w:rPr>
  </w:style>
  <w:style w:type="character" w:customStyle="1" w:styleId="62">
    <w:name w:val="fontstyle21"/>
    <w:basedOn w:val="27"/>
    <w:autoRedefine/>
    <w:qFormat/>
    <w:uiPriority w:val="0"/>
    <w:rPr>
      <w:rFonts w:hint="default" w:ascii="TimesNewRomanPSMT" w:hAnsi="TimesNewRomanPSMT"/>
      <w:color w:val="000000"/>
      <w:sz w:val="22"/>
      <w:szCs w:val="22"/>
    </w:rPr>
  </w:style>
  <w:style w:type="character" w:customStyle="1" w:styleId="6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65">
    <w:name w:val="标题 4 字符1"/>
    <w:link w:val="5"/>
    <w:autoRedefine/>
    <w:qFormat/>
    <w:uiPriority w:val="0"/>
    <w:rPr>
      <w:rFonts w:ascii="@仿宋_GB2312" w:hAnsi="@仿宋_GB2312" w:eastAsia="@仿宋_GB2312" w:cs="@仿宋_GB2312"/>
      <w:b/>
      <w:bCs/>
      <w:sz w:val="28"/>
      <w:szCs w:val="28"/>
    </w:rPr>
  </w:style>
  <w:style w:type="character" w:customStyle="1" w:styleId="66">
    <w:name w:val="标题 4 Char"/>
    <w:autoRedefine/>
    <w:qFormat/>
    <w:uiPriority w:val="0"/>
    <w:rPr>
      <w:rFonts w:ascii="Arial" w:hAnsi="Arial" w:eastAsia="Arial"/>
      <w:b/>
      <w:bCs/>
      <w:kern w:val="2"/>
      <w:sz w:val="28"/>
      <w:szCs w:val="28"/>
      <w:lang w:val="en-US" w:eastAsia="zh-CN" w:bidi="ar-SA"/>
    </w:rPr>
  </w:style>
  <w:style w:type="table" w:customStyle="1" w:styleId="67">
    <w:name w:val="网格型1"/>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批注主题 字符"/>
    <w:basedOn w:val="57"/>
    <w:link w:val="22"/>
    <w:autoRedefine/>
    <w:semiHidden/>
    <w:qFormat/>
    <w:uiPriority w:val="99"/>
    <w:rPr>
      <w:rFonts w:ascii="@仿宋_GB2312" w:hAnsi="@仿宋_GB2312" w:eastAsia="@仿宋_GB2312" w:cs="@仿宋_GB2312"/>
      <w:b/>
      <w:bCs/>
      <w:szCs w:val="20"/>
    </w:r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paragraph" w:customStyle="1" w:styleId="7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font21"/>
    <w:basedOn w:val="27"/>
    <w:autoRedefine/>
    <w:qFormat/>
    <w:uiPriority w:val="0"/>
    <w:rPr>
      <w:rFonts w:hint="eastAsia" w:ascii="宋体" w:hAnsi="宋体" w:eastAsia="宋体" w:cs="宋体"/>
      <w:color w:val="000000"/>
      <w:sz w:val="20"/>
      <w:szCs w:val="20"/>
      <w:u w:val="none"/>
    </w:rPr>
  </w:style>
  <w:style w:type="character" w:customStyle="1" w:styleId="74">
    <w:name w:val="hover"/>
    <w:basedOn w:val="27"/>
    <w:autoRedefine/>
    <w:qFormat/>
    <w:uiPriority w:val="0"/>
    <w:rPr>
      <w:color w:val="2590EB"/>
    </w:rPr>
  </w:style>
  <w:style w:type="character" w:customStyle="1" w:styleId="75">
    <w:name w:val="hover1"/>
    <w:basedOn w:val="27"/>
    <w:autoRedefine/>
    <w:qFormat/>
    <w:uiPriority w:val="0"/>
    <w:rPr>
      <w:color w:val="2590EB"/>
    </w:rPr>
  </w:style>
  <w:style w:type="character" w:customStyle="1" w:styleId="76">
    <w:name w:val="hover2"/>
    <w:basedOn w:val="27"/>
    <w:autoRedefine/>
    <w:qFormat/>
    <w:uiPriority w:val="0"/>
  </w:style>
  <w:style w:type="character" w:customStyle="1" w:styleId="77">
    <w:name w:val="hover3"/>
    <w:basedOn w:val="27"/>
    <w:autoRedefine/>
    <w:qFormat/>
    <w:uiPriority w:val="0"/>
    <w:rPr>
      <w:color w:val="2590EB"/>
      <w:shd w:val="clear" w:color="auto" w:fill="E9F4FD"/>
    </w:rPr>
  </w:style>
  <w:style w:type="character" w:customStyle="1" w:styleId="78">
    <w:name w:val="mini-outputtext1"/>
    <w:basedOn w:val="27"/>
    <w:autoRedefine/>
    <w:qFormat/>
    <w:uiPriority w:val="0"/>
  </w:style>
  <w:style w:type="paragraph" w:customStyle="1" w:styleId="79">
    <w:name w:val="节标题"/>
    <w:basedOn w:val="1"/>
    <w:next w:val="1"/>
    <w:autoRedefine/>
    <w:qFormat/>
    <w:uiPriority w:val="0"/>
    <w:pPr>
      <w:widowControl/>
      <w:spacing w:line="289" w:lineRule="atLeast"/>
      <w:jc w:val="center"/>
      <w:textAlignment w:val="baseline"/>
    </w:pPr>
    <w:rPr>
      <w:color w:val="000000"/>
      <w:kern w:val="0"/>
      <w:sz w:val="28"/>
      <w:u w:color="000000"/>
    </w:rPr>
  </w:style>
  <w:style w:type="paragraph" w:customStyle="1" w:styleId="8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列出段落21"/>
    <w:basedOn w:val="1"/>
    <w:autoRedefine/>
    <w:qFormat/>
    <w:uiPriority w:val="99"/>
    <w:pPr>
      <w:ind w:firstLine="420" w:firstLineChars="200"/>
    </w:pPr>
    <w:rPr>
      <w:rFonts w:asciiTheme="minorHAnsi" w:hAnsiTheme="minorHAnsi" w:eastAsiaTheme="minorEastAsia" w:cstheme="minorBidi"/>
    </w:rPr>
  </w:style>
  <w:style w:type="character" w:customStyle="1" w:styleId="82">
    <w:name w:val="font31"/>
    <w:basedOn w:val="27"/>
    <w:qFormat/>
    <w:uiPriority w:val="0"/>
    <w:rPr>
      <w:rFonts w:hint="eastAsia" w:ascii="宋体" w:hAnsi="宋体" w:eastAsia="宋体" w:cs="宋体"/>
      <w:color w:val="000000"/>
      <w:sz w:val="22"/>
      <w:szCs w:val="22"/>
      <w:u w:val="none"/>
    </w:rPr>
  </w:style>
  <w:style w:type="paragraph" w:customStyle="1" w:styleId="83">
    <w:name w:val="列表段落1"/>
    <w:basedOn w:val="1"/>
    <w:qFormat/>
    <w:uiPriority w:val="34"/>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67</Pages>
  <Words>4536</Words>
  <Characters>4840</Characters>
  <Lines>450</Lines>
  <Paragraphs>126</Paragraphs>
  <TotalTime>20</TotalTime>
  <ScaleCrop>false</ScaleCrop>
  <LinksUpToDate>false</LinksUpToDate>
  <CharactersWithSpaces>4903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2024-08-02T00:45:00Z</dcterms:created>
  <dc:creator>Anakin</dc:creator>
  <cp:lastModifiedBy>佘明宇</cp:lastModifiedBy>
  <cp:lastPrinted>2019-12-07T15:18:00Z</cp:lastPrinted>
  <dcterms:modified xsi:type="dcterms:W3CDTF">2025-03-19T01:03:06Z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0316CF0D748E4BE7867B276E4517896D_13</vt:lpwstr>
  </property>
  <property fmtid="{D5CDD505-2E9C-101B-9397-08002B2CF9AE}" pid="4" name="KSOTemplateDocerSaveRecord">
    <vt:lpwstr>eyJoZGlkIjoiMTEwMjQyMDk4MTgwYTgxYmNiYTc4NGNiY2EzOGE5ZWQiLCJ1c2VySWQiOiI3MTkzMzIyMjAifQ==</vt:lpwstr>
  </property>
</Properties>
</file>