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800" w:lineRule="exact"/>
        <w:jc w:val="center"/>
        <w:rPr>
          <w:rFonts w:hint="eastAsia" w:hAnsi="宋体" w:cs="宋体"/>
          <w:b/>
          <w:color w:val="auto"/>
          <w:sz w:val="48"/>
          <w:szCs w:val="48"/>
          <w:highlight w:val="none"/>
          <w:lang w:eastAsia="zh-CN"/>
        </w:rPr>
      </w:pPr>
      <w:bookmarkStart w:id="0" w:name="_Toc219437020"/>
      <w:bookmarkStart w:id="1" w:name="_Toc219436830"/>
      <w:bookmarkStart w:id="2" w:name="_Toc219436248"/>
      <w:bookmarkStart w:id="3" w:name="_Toc219437194"/>
      <w:bookmarkStart w:id="4" w:name="_Toc219436916"/>
      <w:bookmarkStart w:id="5" w:name="_Toc219437667"/>
      <w:bookmarkStart w:id="6" w:name="_Toc466100958"/>
    </w:p>
    <w:p>
      <w:pPr>
        <w:pStyle w:val="14"/>
        <w:spacing w:line="800" w:lineRule="exact"/>
        <w:jc w:val="center"/>
        <w:rPr>
          <w:rFonts w:hint="eastAsia" w:hAnsi="宋体" w:cs="宋体"/>
          <w:b/>
          <w:color w:val="auto"/>
          <w:sz w:val="48"/>
          <w:szCs w:val="48"/>
          <w:highlight w:val="none"/>
          <w:lang w:eastAsia="zh-CN"/>
        </w:rPr>
      </w:pPr>
      <w:r>
        <w:rPr>
          <w:rFonts w:hint="eastAsia" w:hAnsi="宋体" w:cs="宋体"/>
          <w:b/>
          <w:color w:val="auto"/>
          <w:sz w:val="44"/>
          <w:szCs w:val="44"/>
          <w:highlight w:val="none"/>
          <w:lang w:eastAsia="zh-CN"/>
        </w:rPr>
        <w:t>2024年滁州市妇幼保健计划生育服务中心新院区窗帘、纱窗采购项目</w:t>
      </w:r>
    </w:p>
    <w:p>
      <w:pPr>
        <w:pStyle w:val="14"/>
        <w:spacing w:line="800" w:lineRule="exact"/>
        <w:jc w:val="center"/>
        <w:rPr>
          <w:rFonts w:hint="eastAsia" w:ascii="宋体" w:hAnsi="宋体" w:cs="宋体"/>
          <w:b/>
          <w:color w:val="auto"/>
          <w:sz w:val="72"/>
          <w:szCs w:val="72"/>
          <w:highlight w:val="none"/>
        </w:rPr>
      </w:pPr>
    </w:p>
    <w:p>
      <w:pPr>
        <w:pStyle w:val="14"/>
        <w:spacing w:line="800" w:lineRule="exact"/>
        <w:jc w:val="center"/>
        <w:rPr>
          <w:rFonts w:hint="eastAsia" w:ascii="宋体" w:hAnsi="宋体" w:cs="宋体"/>
          <w:b/>
          <w:color w:val="auto"/>
          <w:sz w:val="72"/>
          <w:szCs w:val="72"/>
          <w:highlight w:val="none"/>
        </w:rPr>
      </w:pPr>
    </w:p>
    <w:p>
      <w:pPr>
        <w:rPr>
          <w:rFonts w:hint="eastAsia"/>
          <w:color w:val="auto"/>
          <w:highlight w:val="none"/>
        </w:rPr>
      </w:pPr>
    </w:p>
    <w:p>
      <w:pPr>
        <w:pStyle w:val="14"/>
        <w:spacing w:line="800" w:lineRule="exact"/>
        <w:jc w:val="center"/>
        <w:rPr>
          <w:rFonts w:hint="eastAsia" w:hAnsi="宋体" w:cs="宋体"/>
          <w:b/>
          <w:color w:val="auto"/>
          <w:sz w:val="44"/>
          <w:szCs w:val="52"/>
          <w:highlight w:val="none"/>
          <w:lang w:eastAsia="zh-CN"/>
        </w:rPr>
      </w:pPr>
      <w:r>
        <w:rPr>
          <w:rFonts w:hint="eastAsia" w:ascii="宋体" w:hAnsi="宋体" w:cs="宋体"/>
          <w:b/>
          <w:color w:val="auto"/>
          <w:sz w:val="72"/>
          <w:szCs w:val="72"/>
          <w:highlight w:val="none"/>
        </w:rPr>
        <w:t>竞争性谈判文件</w:t>
      </w:r>
    </w:p>
    <w:p>
      <w:pPr>
        <w:widowControl/>
        <w:wordWrap w:val="0"/>
        <w:spacing w:before="156" w:beforeLines="50" w:after="156" w:afterLines="50" w:line="900" w:lineRule="exact"/>
        <w:jc w:val="center"/>
        <w:rPr>
          <w:rFonts w:hint="default" w:ascii="宋体" w:hAnsi="宋体" w:eastAsia="宋体" w:cs="宋体"/>
          <w:bCs/>
          <w:color w:val="auto"/>
          <w:sz w:val="21"/>
          <w:szCs w:val="21"/>
          <w:highlight w:val="none"/>
          <w:lang w:val="en-US" w:eastAsia="zh-CN"/>
        </w:rPr>
      </w:pPr>
    </w:p>
    <w:bookmarkEnd w:id="0"/>
    <w:bookmarkEnd w:id="1"/>
    <w:bookmarkEnd w:id="2"/>
    <w:bookmarkEnd w:id="3"/>
    <w:bookmarkEnd w:id="4"/>
    <w:bookmarkEnd w:id="5"/>
    <w:p>
      <w:pPr>
        <w:spacing w:line="700" w:lineRule="exact"/>
        <w:ind w:firstLine="422" w:firstLineChars="200"/>
        <w:rPr>
          <w:rFonts w:hint="eastAsia" w:ascii="宋体" w:hAnsi="宋体" w:cs="宋体"/>
          <w:b/>
          <w:color w:val="auto"/>
          <w:highlight w:val="none"/>
        </w:rPr>
      </w:pPr>
    </w:p>
    <w:p>
      <w:pPr>
        <w:spacing w:line="700" w:lineRule="exact"/>
        <w:ind w:firstLine="422" w:firstLineChars="200"/>
        <w:rPr>
          <w:rFonts w:hint="eastAsia" w:ascii="宋体" w:hAnsi="宋体" w:cs="宋体"/>
          <w:b/>
          <w:color w:val="auto"/>
          <w:highlight w:val="none"/>
        </w:rPr>
      </w:pPr>
    </w:p>
    <w:p>
      <w:pPr>
        <w:spacing w:line="700" w:lineRule="exact"/>
        <w:ind w:firstLine="422" w:firstLineChars="200"/>
        <w:rPr>
          <w:rFonts w:hint="eastAsia" w:ascii="宋体" w:hAnsi="宋体" w:cs="宋体"/>
          <w:b/>
          <w:color w:val="auto"/>
          <w:highlight w:val="none"/>
        </w:rPr>
      </w:pPr>
    </w:p>
    <w:p>
      <w:pPr>
        <w:pStyle w:val="2"/>
        <w:rPr>
          <w:rFonts w:hint="eastAsia" w:ascii="宋体" w:hAnsi="宋体" w:cs="宋体"/>
          <w:b/>
          <w:color w:val="auto"/>
          <w:highlight w:val="none"/>
        </w:rPr>
      </w:pPr>
    </w:p>
    <w:p>
      <w:pPr>
        <w:rPr>
          <w:rFonts w:hint="eastAsia" w:ascii="宋体" w:hAnsi="宋体" w:cs="宋体"/>
          <w:b/>
          <w:color w:val="auto"/>
          <w:highlight w:val="none"/>
        </w:rPr>
      </w:pPr>
    </w:p>
    <w:p>
      <w:pPr>
        <w:pStyle w:val="2"/>
        <w:rPr>
          <w:rFonts w:hint="eastAsia" w:ascii="宋体" w:hAnsi="宋体" w:cs="宋体"/>
          <w:b/>
          <w:color w:val="auto"/>
          <w:highlight w:val="none"/>
        </w:rPr>
      </w:pPr>
    </w:p>
    <w:p>
      <w:pPr>
        <w:rPr>
          <w:rFonts w:hint="eastAsia" w:ascii="宋体" w:hAnsi="宋体" w:cs="宋体"/>
          <w:b/>
          <w:color w:val="auto"/>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0" w:firstLineChars="0"/>
        <w:jc w:val="center"/>
        <w:textAlignment w:val="auto"/>
        <w:rPr>
          <w:rFonts w:hint="eastAsia" w:ascii="宋体" w:hAnsi="宋体" w:cs="宋体"/>
          <w:b/>
          <w:color w:val="auto"/>
          <w:sz w:val="32"/>
          <w:szCs w:val="32"/>
          <w:highlight w:val="none"/>
        </w:rPr>
      </w:pPr>
      <w:r>
        <w:rPr>
          <w:rFonts w:hint="eastAsia" w:ascii="宋体" w:hAnsi="宋体" w:eastAsia="宋体" w:cs="宋体"/>
          <w:b/>
          <w:color w:val="auto"/>
          <w:kern w:val="2"/>
          <w:sz w:val="32"/>
          <w:szCs w:val="32"/>
          <w:highlight w:val="none"/>
          <w:lang w:val="en-US" w:eastAsia="zh-CN" w:bidi="ar-SA"/>
        </w:rPr>
        <w:t>采购人：</w:t>
      </w:r>
      <w:r>
        <w:rPr>
          <w:rFonts w:hint="eastAsia" w:ascii="宋体" w:hAnsi="宋体" w:cs="宋体"/>
          <w:b/>
          <w:color w:val="auto"/>
          <w:kern w:val="2"/>
          <w:sz w:val="32"/>
          <w:szCs w:val="32"/>
          <w:highlight w:val="none"/>
          <w:u w:val="single"/>
          <w:lang w:val="en-US" w:eastAsia="zh-CN" w:bidi="ar-SA"/>
        </w:rPr>
        <w:t>滁州市妇幼保健计划生育服务中心</w:t>
      </w:r>
      <w:r>
        <w:rPr>
          <w:rFonts w:hint="eastAsia" w:ascii="宋体" w:hAnsi="宋体" w:cs="宋体"/>
          <w:b/>
          <w:color w:val="auto"/>
          <w:sz w:val="32"/>
          <w:szCs w:val="32"/>
          <w:highlight w:val="none"/>
        </w:rPr>
        <w:t>（盖章）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249" w:firstLineChars="700"/>
        <w:jc w:val="both"/>
        <w:textAlignment w:val="auto"/>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0" w:firstLineChars="0"/>
        <w:jc w:val="center"/>
        <w:textAlignment w:val="auto"/>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lang w:eastAsia="zh-CN"/>
        </w:rPr>
        <w:t>采购代理机构</w:t>
      </w:r>
      <w:r>
        <w:rPr>
          <w:rFonts w:hint="eastAsia" w:ascii="宋体" w:hAnsi="宋体" w:cs="宋体"/>
          <w:b/>
          <w:color w:val="auto"/>
          <w:sz w:val="32"/>
          <w:szCs w:val="32"/>
          <w:highlight w:val="none"/>
        </w:rPr>
        <w:t>：</w:t>
      </w:r>
      <w:r>
        <w:rPr>
          <w:rFonts w:hint="eastAsia" w:ascii="宋体" w:hAnsi="宋体" w:cs="宋体"/>
          <w:b/>
          <w:color w:val="auto"/>
          <w:sz w:val="32"/>
          <w:szCs w:val="32"/>
          <w:highlight w:val="none"/>
          <w:u w:val="single"/>
          <w:lang w:val="en-US" w:eastAsia="zh-CN"/>
        </w:rPr>
        <w:t>安徽立地工程咨询有限公司</w:t>
      </w:r>
      <w:r>
        <w:rPr>
          <w:rFonts w:hint="eastAsia" w:ascii="宋体" w:hAnsi="宋体" w:cs="宋体"/>
          <w:b/>
          <w:color w:val="auto"/>
          <w:sz w:val="32"/>
          <w:szCs w:val="32"/>
          <w:highlight w:val="none"/>
        </w:rPr>
        <w:t>（盖章）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0" w:firstLineChars="0"/>
        <w:jc w:val="center"/>
        <w:textAlignment w:val="auto"/>
        <w:rPr>
          <w:rFonts w:hint="eastAsia" w:ascii="宋体" w:hAnsi="宋体" w:cs="宋体"/>
          <w:b/>
          <w:color w:val="auto"/>
          <w:sz w:val="36"/>
          <w:highlight w:val="none"/>
        </w:rPr>
      </w:pPr>
      <w:r>
        <w:rPr>
          <w:rFonts w:hint="eastAsia" w:ascii="宋体" w:hAnsi="宋体" w:cs="宋体"/>
          <w:b/>
          <w:color w:val="auto"/>
          <w:sz w:val="32"/>
          <w:szCs w:val="32"/>
          <w:highlight w:val="none"/>
          <w:u w:val="single"/>
          <w:lang w:val="en-US" w:eastAsia="zh-CN"/>
        </w:rPr>
        <w:t>2024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lang w:val="en-US" w:eastAsia="zh-CN"/>
        </w:rPr>
        <w:t>7</w:t>
      </w:r>
      <w:r>
        <w:rPr>
          <w:rFonts w:hint="eastAsia" w:ascii="宋体" w:hAnsi="宋体" w:cs="宋体"/>
          <w:b/>
          <w:color w:val="auto"/>
          <w:sz w:val="32"/>
          <w:szCs w:val="32"/>
          <w:highlight w:val="none"/>
        </w:rPr>
        <w:t>月</w:t>
      </w:r>
    </w:p>
    <w:p>
      <w:pPr>
        <w:rPr>
          <w:rFonts w:hint="eastAsia" w:ascii="宋体" w:hAnsi="宋体" w:cs="宋体"/>
          <w:color w:val="auto"/>
          <w:highlight w:val="none"/>
        </w:rPr>
      </w:pPr>
    </w:p>
    <w:p>
      <w:pPr>
        <w:pStyle w:val="19"/>
        <w:jc w:val="center"/>
        <w:rPr>
          <w:rFonts w:hint="eastAsia" w:ascii="宋体" w:eastAsia="宋体" w:cs="宋体"/>
          <w:color w:val="auto"/>
          <w:highlight w:val="none"/>
          <w:lang w:eastAsia="zh-CN"/>
        </w:rPr>
      </w:pPr>
      <w:bookmarkStart w:id="7" w:name="_Toc7930"/>
      <w:bookmarkStart w:id="8" w:name="_Toc24213"/>
    </w:p>
    <w:p>
      <w:pPr>
        <w:pStyle w:val="19"/>
        <w:jc w:val="center"/>
        <w:rPr>
          <w:rFonts w:hint="eastAsia" w:ascii="宋体" w:eastAsia="宋体" w:cs="宋体"/>
          <w:color w:val="auto"/>
          <w:highlight w:val="none"/>
          <w:lang w:eastAsia="zh-CN"/>
        </w:rPr>
      </w:pPr>
    </w:p>
    <w:p>
      <w:pPr>
        <w:pStyle w:val="19"/>
        <w:jc w:val="center"/>
        <w:rPr>
          <w:rFonts w:hint="eastAsia" w:ascii="宋体" w:eastAsia="宋体" w:cs="宋体"/>
          <w:color w:val="auto"/>
          <w:highlight w:val="none"/>
          <w:lang w:eastAsia="zh-CN"/>
        </w:rPr>
        <w:sectPr>
          <w:headerReference r:id="rId3" w:type="default"/>
          <w:footerReference r:id="rId4" w:type="default"/>
          <w:pgSz w:w="11906" w:h="16838"/>
          <w:pgMar w:top="1134" w:right="1417" w:bottom="1134" w:left="1417" w:header="680" w:footer="680" w:gutter="0"/>
          <w:pgNumType w:fmt="decimal" w:start="1"/>
          <w:cols w:space="0" w:num="1"/>
          <w:rtlGutter w:val="0"/>
          <w:docGrid w:type="lines" w:linePitch="312" w:charSpace="0"/>
        </w:sectPr>
      </w:pPr>
    </w:p>
    <w:p>
      <w:pPr>
        <w:pStyle w:val="19"/>
        <w:jc w:val="center"/>
        <w:rPr>
          <w:rFonts w:hint="eastAsia"/>
          <w:color w:val="auto"/>
          <w:highlight w:val="none"/>
          <w:lang w:eastAsia="zh-CN"/>
        </w:rPr>
      </w:pPr>
      <w:r>
        <w:rPr>
          <w:rFonts w:hint="eastAsia" w:ascii="宋体" w:eastAsia="宋体" w:cs="宋体"/>
          <w:color w:val="auto"/>
          <w:highlight w:val="none"/>
          <w:lang w:eastAsia="zh-CN"/>
        </w:rPr>
        <w:t>目 录</w:t>
      </w:r>
    </w:p>
    <w:p>
      <w:pPr>
        <w:pStyle w:val="19"/>
        <w:rPr>
          <w:rFonts w:hint="eastAsia" w:ascii="宋体" w:eastAsia="宋体" w:cs="宋体"/>
          <w:color w:val="auto"/>
          <w:highlight w:val="none"/>
          <w:lang w:eastAsia="zh-CN"/>
        </w:rPr>
      </w:pPr>
    </w:p>
    <w:p>
      <w:pPr>
        <w:pStyle w:val="19"/>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TOC \o "1-3" \h \z \u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\l _Toc14930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第一章 竞争性谈判公告</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fldChar w:fldCharType="end"/>
      </w:r>
    </w:p>
    <w:p>
      <w:pPr>
        <w:pStyle w:val="19"/>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\l _Toc17947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 xml:space="preserve">第二章  </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PAGEREF _Toc17947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fldChar w:fldCharType="end"/>
      </w:r>
    </w:p>
    <w:p>
      <w:pPr>
        <w:pStyle w:val="19"/>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\l _Toc21491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第三章 资格审查办法</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PAGEREF _Toc21491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13</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fldChar w:fldCharType="end"/>
      </w:r>
    </w:p>
    <w:p>
      <w:pPr>
        <w:pStyle w:val="19"/>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\l _Toc17045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 xml:space="preserve">第四章 </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rPr>
        <w:t>办法</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PAGEREF _Toc17045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15</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fldChar w:fldCharType="end"/>
      </w:r>
    </w:p>
    <w:p>
      <w:pPr>
        <w:pStyle w:val="19"/>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\l _Toc14746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 xml:space="preserve">第五章 </w:t>
      </w:r>
      <w:r>
        <w:rPr>
          <w:rFonts w:hint="eastAsia" w:ascii="宋体" w:hAnsi="宋体" w:eastAsia="宋体" w:cs="宋体"/>
          <w:b w:val="0"/>
          <w:bCs/>
          <w:color w:val="auto"/>
          <w:sz w:val="21"/>
          <w:szCs w:val="21"/>
          <w:highlight w:val="none"/>
          <w:lang w:val="en-US" w:eastAsia="zh-CN"/>
        </w:rPr>
        <w:t>采购内容及服务要求</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PAGEREF _Toc14746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20</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fldChar w:fldCharType="end"/>
      </w:r>
    </w:p>
    <w:p>
      <w:pPr>
        <w:pStyle w:val="19"/>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\l _Toc14746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第六章 合同条款及格式</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PAGEREF _Toc14746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20</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fldChar w:fldCharType="end"/>
      </w:r>
    </w:p>
    <w:p>
      <w:pPr>
        <w:pStyle w:val="19"/>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\l _Toc10891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七</w:t>
      </w:r>
      <w:r>
        <w:rPr>
          <w:rFonts w:hint="eastAsia" w:ascii="宋体" w:hAnsi="宋体" w:eastAsia="宋体" w:cs="宋体"/>
          <w:b w:val="0"/>
          <w:bCs/>
          <w:color w:val="auto"/>
          <w:sz w:val="21"/>
          <w:szCs w:val="21"/>
          <w:highlight w:val="none"/>
        </w:rPr>
        <w:t>章   响应文件格式</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lang w:val="en-US" w:eastAsia="zh-CN"/>
        </w:rPr>
        <w:t>24</w:t>
      </w:r>
    </w:p>
    <w:p>
      <w:pPr>
        <w:pStyle w:val="19"/>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\l _Toc21314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 xml:space="preserve">章  </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单位、</w:t>
      </w:r>
      <w:r>
        <w:rPr>
          <w:rFonts w:hint="eastAsia" w:ascii="宋体" w:hAnsi="宋体" w:eastAsia="宋体" w:cs="宋体"/>
          <w:b w:val="0"/>
          <w:bCs/>
          <w:color w:val="auto"/>
          <w:sz w:val="21"/>
          <w:szCs w:val="21"/>
          <w:highlight w:val="none"/>
          <w:lang w:eastAsia="zh-CN"/>
        </w:rPr>
        <w:t>采购代理机构</w:t>
      </w:r>
      <w:r>
        <w:rPr>
          <w:rFonts w:hint="eastAsia" w:ascii="宋体" w:hAnsi="宋体" w:eastAsia="宋体" w:cs="宋体"/>
          <w:b w:val="0"/>
          <w:bCs/>
          <w:color w:val="auto"/>
          <w:sz w:val="21"/>
          <w:szCs w:val="21"/>
          <w:highlight w:val="none"/>
        </w:rPr>
        <w:t>对本谈判文件的确认</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lang w:val="en-US" w:eastAsia="zh-CN"/>
        </w:rPr>
        <w:t>6</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hAnsi="宋体" w:cs="宋体"/>
          <w:b/>
          <w:bCs/>
          <w:color w:val="auto"/>
          <w:sz w:val="30"/>
          <w:szCs w:val="30"/>
          <w:highlight w:val="none"/>
        </w:rPr>
      </w:pPr>
      <w:r>
        <w:rPr>
          <w:rFonts w:hint="eastAsia" w:ascii="宋体" w:hAnsi="宋体" w:eastAsia="宋体" w:cs="宋体"/>
          <w:b w:val="0"/>
          <w:bCs/>
          <w:color w:val="auto"/>
          <w:sz w:val="21"/>
          <w:szCs w:val="21"/>
          <w:highlight w:val="none"/>
        </w:rPr>
        <w:fldChar w:fldCharType="end"/>
      </w:r>
    </w:p>
    <w:p>
      <w:pPr>
        <w:pStyle w:val="20"/>
        <w:rPr>
          <w:rFonts w:hint="eastAsia" w:ascii="宋体" w:hAnsi="宋体" w:eastAsia="宋体" w:cs="宋体"/>
          <w:b/>
          <w:bCs/>
          <w:color w:val="auto"/>
          <w:sz w:val="30"/>
          <w:szCs w:val="30"/>
          <w:highlight w:val="none"/>
        </w:rPr>
      </w:pPr>
    </w:p>
    <w:p>
      <w:pPr>
        <w:spacing w:before="156" w:beforeLines="50" w:after="156" w:afterLines="50" w:line="440" w:lineRule="exact"/>
        <w:outlineLvl w:val="0"/>
        <w:rPr>
          <w:rFonts w:hint="eastAsia" w:ascii="宋体" w:hAnsi="宋体" w:cs="宋体"/>
          <w:b/>
          <w:bCs/>
          <w:color w:val="auto"/>
          <w:sz w:val="32"/>
          <w:szCs w:val="32"/>
          <w:highlight w:val="none"/>
        </w:rPr>
        <w:sectPr>
          <w:footerReference r:id="rId5" w:type="default"/>
          <w:pgSz w:w="11906" w:h="16838"/>
          <w:pgMar w:top="1134" w:right="1417" w:bottom="1134" w:left="1417" w:header="680" w:footer="680" w:gutter="0"/>
          <w:pgNumType w:fmt="decimal" w:start="1"/>
          <w:cols w:space="0" w:num="1"/>
          <w:rtlGutter w:val="0"/>
          <w:docGrid w:type="lines" w:linePitch="312" w:charSpace="0"/>
        </w:sectPr>
      </w:pPr>
    </w:p>
    <w:p>
      <w:pPr>
        <w:numPr>
          <w:ilvl w:val="0"/>
          <w:numId w:val="1"/>
        </w:numPr>
        <w:spacing w:before="156" w:beforeLines="50" w:after="156" w:afterLines="50" w:line="440" w:lineRule="exact"/>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bookmarkStart w:id="9" w:name="_Toc14930"/>
      <w:bookmarkStart w:id="10" w:name="_Toc40723414"/>
      <w:r>
        <w:rPr>
          <w:rFonts w:hint="eastAsia" w:ascii="宋体" w:hAnsi="宋体" w:cs="宋体"/>
          <w:b/>
          <w:bCs/>
          <w:color w:val="auto"/>
          <w:sz w:val="32"/>
          <w:szCs w:val="32"/>
          <w:highlight w:val="none"/>
        </w:rPr>
        <w:t>竞争性谈判公告</w:t>
      </w:r>
      <w:bookmarkEnd w:id="9"/>
      <w:bookmarkEnd w:id="10"/>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lang w:val="en-US" w:eastAsia="zh-CN"/>
        </w:rPr>
      </w:pPr>
      <w:bookmarkStart w:id="11" w:name="_Toc28359089"/>
      <w:bookmarkStart w:id="12" w:name="_Toc46164847"/>
      <w:bookmarkStart w:id="13" w:name="_Toc28359012"/>
      <w:bookmarkStart w:id="14" w:name="_Toc35393629"/>
      <w:bookmarkStart w:id="15" w:name="_Toc35393798"/>
      <w:bookmarkStart w:id="16" w:name="_Toc25915"/>
      <w:r>
        <w:rPr>
          <w:rFonts w:hint="eastAsia" w:ascii="宋体" w:hAnsi="宋体" w:eastAsia="宋体" w:cs="宋体"/>
          <w:b w:val="0"/>
          <w:bCs w:val="0"/>
          <w:color w:val="auto"/>
          <w:sz w:val="21"/>
          <w:szCs w:val="21"/>
          <w:highlight w:val="none"/>
          <w:lang w:val="en-US" w:eastAsia="zh-CN"/>
        </w:rPr>
        <w:t>项目概况</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u w:val="single"/>
          <w:lang w:val="en-US" w:eastAsia="zh-CN"/>
        </w:rPr>
        <w:t>2024年滁州市妇幼保健计划生育服务中心新院区窗帘、纱窗采购项目</w:t>
      </w:r>
      <w:r>
        <w:rPr>
          <w:rFonts w:hint="eastAsia" w:ascii="宋体" w:hAnsi="宋体" w:eastAsia="宋体" w:cs="宋体"/>
          <w:b w:val="0"/>
          <w:bCs w:val="0"/>
          <w:color w:val="auto"/>
          <w:sz w:val="21"/>
          <w:szCs w:val="21"/>
          <w:highlight w:val="none"/>
          <w:lang w:val="en-US" w:eastAsia="zh-CN"/>
        </w:rPr>
        <w:t>的潜在供应商应在滁州市妇幼保健计划生育服务中心</w:t>
      </w:r>
      <w:r>
        <w:rPr>
          <w:rFonts w:hint="eastAsia" w:ascii="宋体" w:hAnsi="宋体" w:cs="宋体"/>
          <w:b w:val="0"/>
          <w:bCs w:val="0"/>
          <w:color w:val="auto"/>
          <w:sz w:val="21"/>
          <w:szCs w:val="21"/>
          <w:highlight w:val="none"/>
          <w:lang w:val="en-US" w:eastAsia="zh-CN"/>
        </w:rPr>
        <w:t>网站（</w:t>
      </w:r>
      <w:r>
        <w:rPr>
          <w:rFonts w:hint="eastAsia" w:ascii="宋体" w:hAnsi="宋体" w:eastAsia="宋体" w:cs="宋体"/>
          <w:b w:val="0"/>
          <w:bCs w:val="0"/>
          <w:color w:val="auto"/>
          <w:sz w:val="21"/>
          <w:szCs w:val="21"/>
          <w:highlight w:val="none"/>
          <w:lang w:val="en-US" w:eastAsia="zh-CN"/>
        </w:rPr>
        <w:t>http://www.czsfjzx.com/</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获取竞争性谈判文件，欢迎具备条件的投标供应商参加投标。</w:t>
      </w:r>
    </w:p>
    <w:p>
      <w:pPr>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422" w:firstLineChars="200"/>
        <w:jc w:val="both"/>
        <w:textAlignment w:val="auto"/>
        <w:outlineLvl w:val="1"/>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一、项目基本情况</w:t>
      </w:r>
      <w:bookmarkEnd w:id="11"/>
      <w:bookmarkEnd w:id="12"/>
      <w:bookmarkEnd w:id="13"/>
      <w:bookmarkEnd w:id="14"/>
      <w:bookmarkEnd w:id="15"/>
      <w:bookmarkEnd w:id="16"/>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val="0"/>
          <w:bCs w:val="0"/>
          <w:color w:val="auto"/>
          <w:sz w:val="21"/>
          <w:szCs w:val="21"/>
          <w:highlight w:val="none"/>
        </w:rPr>
        <w:t>项目名称：</w:t>
      </w:r>
      <w:r>
        <w:rPr>
          <w:rFonts w:hint="eastAsia" w:ascii="宋体" w:hAnsi="宋体" w:cs="宋体"/>
          <w:b w:val="0"/>
          <w:bCs w:val="0"/>
          <w:color w:val="auto"/>
          <w:sz w:val="21"/>
          <w:szCs w:val="21"/>
          <w:highlight w:val="none"/>
          <w:lang w:val="en-US" w:eastAsia="zh-CN"/>
        </w:rPr>
        <w:t>2024年滁州市妇幼保健计划生育服务中心新院区窗帘、纱窗采购项目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采购方式：竞争性谈判</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预算金额：</w:t>
      </w:r>
      <w:r>
        <w:rPr>
          <w:rFonts w:hint="eastAsia" w:ascii="宋体" w:hAnsi="宋体" w:cs="宋体"/>
          <w:b w:val="0"/>
          <w:bCs w:val="0"/>
          <w:color w:val="auto"/>
          <w:sz w:val="21"/>
          <w:szCs w:val="21"/>
          <w:highlight w:val="none"/>
          <w:lang w:val="en-US" w:eastAsia="zh-CN"/>
        </w:rPr>
        <w:t>10万元</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最高限价：</w:t>
      </w:r>
      <w:r>
        <w:rPr>
          <w:rFonts w:hint="eastAsia" w:ascii="宋体" w:hAnsi="宋体" w:cs="宋体"/>
          <w:b w:val="0"/>
          <w:bCs w:val="0"/>
          <w:color w:val="auto"/>
          <w:sz w:val="21"/>
          <w:szCs w:val="21"/>
          <w:highlight w:val="none"/>
          <w:lang w:eastAsia="zh-CN"/>
        </w:rPr>
        <w:t>壹拾万元整（100000.00元）</w:t>
      </w:r>
      <w:r>
        <w:rPr>
          <w:rFonts w:hint="eastAsia" w:ascii="宋体" w:hAnsi="宋体" w:eastAsia="宋体" w:cs="宋体"/>
          <w:b w:val="0"/>
          <w:bCs w:val="0"/>
          <w:color w:val="auto"/>
          <w:sz w:val="21"/>
          <w:szCs w:val="21"/>
          <w:highlight w:val="none"/>
          <w:lang w:val="en-US" w:eastAsia="zh-CN"/>
        </w:rPr>
        <w:t>。高于最高限价的</w:t>
      </w:r>
      <w:r>
        <w:rPr>
          <w:rFonts w:hint="eastAsia" w:ascii="宋体" w:hAnsi="宋体" w:eastAsia="宋体" w:cs="宋体"/>
          <w:b w:val="0"/>
          <w:bCs w:val="0"/>
          <w:color w:val="auto"/>
          <w:sz w:val="21"/>
          <w:szCs w:val="21"/>
          <w:highlight w:val="none"/>
        </w:rPr>
        <w:t>，其响应文件按无效响应处理。</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项目需求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窗帘、纱窗采购</w:t>
      </w:r>
      <w:r>
        <w:rPr>
          <w:rFonts w:hint="eastAsia" w:ascii="宋体" w:hAnsi="宋体" w:cs="宋体"/>
          <w:color w:val="auto"/>
          <w:sz w:val="21"/>
          <w:szCs w:val="21"/>
          <w:highlight w:val="none"/>
          <w:lang w:val="en-US" w:eastAsia="zh-CN"/>
        </w:rPr>
        <w:t>，具体详见采购清单</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自合同签订之日起30个日历天内完成所有货物的供货、安装、验收工作。</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pPr>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422" w:firstLineChars="200"/>
        <w:jc w:val="both"/>
        <w:textAlignment w:val="auto"/>
        <w:outlineLvl w:val="1"/>
        <w:rPr>
          <w:rFonts w:hint="eastAsia" w:ascii="宋体" w:hAnsi="宋体" w:eastAsia="宋体" w:cs="宋体"/>
          <w:b/>
          <w:bCs w:val="0"/>
          <w:color w:val="auto"/>
          <w:kern w:val="0"/>
          <w:sz w:val="21"/>
          <w:szCs w:val="21"/>
          <w:highlight w:val="none"/>
          <w:lang w:val="en-US" w:eastAsia="zh-CN" w:bidi="ar-SA"/>
        </w:rPr>
      </w:pPr>
      <w:bookmarkStart w:id="17" w:name="_Toc28359090"/>
      <w:bookmarkStart w:id="18" w:name="_Toc6563"/>
      <w:bookmarkStart w:id="19" w:name="_Toc46164848"/>
      <w:bookmarkStart w:id="20" w:name="_Toc35393799"/>
      <w:bookmarkStart w:id="21" w:name="_Toc35393630"/>
      <w:bookmarkStart w:id="22" w:name="_Toc28359013"/>
      <w:r>
        <w:rPr>
          <w:rFonts w:hint="eastAsia" w:ascii="宋体" w:hAnsi="宋体" w:eastAsia="宋体" w:cs="宋体"/>
          <w:b/>
          <w:bCs w:val="0"/>
          <w:color w:val="auto"/>
          <w:kern w:val="0"/>
          <w:sz w:val="21"/>
          <w:szCs w:val="21"/>
          <w:highlight w:val="none"/>
          <w:lang w:val="en-US" w:eastAsia="zh-CN" w:bidi="ar-SA"/>
        </w:rPr>
        <w:t>二、申请人的资格要求：</w:t>
      </w:r>
      <w:bookmarkEnd w:id="17"/>
      <w:bookmarkEnd w:id="18"/>
      <w:bookmarkEnd w:id="19"/>
      <w:bookmarkEnd w:id="20"/>
      <w:bookmarkEnd w:id="21"/>
      <w:bookmarkEnd w:id="22"/>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bookmarkStart w:id="23" w:name="_Toc28359014"/>
      <w:bookmarkStart w:id="24" w:name="_Toc28359091"/>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3.本项目的特定资格要求：</w:t>
      </w:r>
      <w:bookmarkStart w:id="25" w:name="_Toc35393800"/>
      <w:bookmarkStart w:id="26" w:name="_Toc35393631"/>
      <w:r>
        <w:rPr>
          <w:rFonts w:hint="eastAsia" w:ascii="宋体" w:hAnsi="宋体" w:cs="宋体"/>
          <w:color w:val="auto"/>
          <w:sz w:val="21"/>
          <w:szCs w:val="21"/>
          <w:highlight w:val="none"/>
          <w:lang w:eastAsia="zh-CN"/>
        </w:rPr>
        <w:t>无</w:t>
      </w:r>
      <w:r>
        <w:rPr>
          <w:rFonts w:hint="eastAsia" w:ascii="宋体" w:hAnsi="宋体" w:cs="宋体"/>
          <w:color w:val="auto"/>
          <w:sz w:val="21"/>
          <w:szCs w:val="21"/>
          <w:highlight w:val="none"/>
          <w:lang w:val="en-US" w:eastAsia="zh-CN"/>
        </w:rPr>
        <w:t>；</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27" w:name="_Toc11183"/>
      <w:bookmarkStart w:id="28" w:name="_Toc46164849"/>
      <w:r>
        <w:rPr>
          <w:rFonts w:hint="eastAsia" w:ascii="宋体" w:hAnsi="宋体" w:eastAsia="宋体" w:cs="宋体"/>
          <w:color w:val="auto"/>
          <w:sz w:val="21"/>
          <w:szCs w:val="21"/>
          <w:highlight w:val="none"/>
          <w:lang w:val="en-US" w:eastAsia="zh-CN"/>
        </w:rPr>
        <w:t>4.信誉要求：投标人不得存在以下情形：</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①投标人被人民法院列入失信被执行人的；</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②投标人或其法定代表人或拟派项目经理（项目负责人）前三年有行贿犯罪行为的；</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③投标人被市场监督管理部门列入经营异常名录或者严重违法企业名单，且未被移除的；</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④投标人被税务部门列入重大税收违法案件当事人的；</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⑤投标人被政府采购监管部门列入政府采购严重违法失信行为记录名单的；</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⑥在“信用中国”网站上披露仍在公示期的严重失信行为的；</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5.投标人所属分公司、办事处等分支机构存在第4款信誉要求①-⑥项情形之一的，接受投标人参加本项目。</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备注：第4、5条按照“关于联合惩戒失信行为加强信用查询管理的通知”查询或承诺</w:t>
      </w:r>
      <w:r>
        <w:rPr>
          <w:rFonts w:hint="eastAsia" w:ascii="宋体" w:hAnsi="宋体" w:cs="宋体"/>
          <w:color w:val="auto"/>
          <w:sz w:val="21"/>
          <w:szCs w:val="21"/>
          <w:highlight w:val="none"/>
          <w:lang w:val="en-US" w:eastAsia="zh-CN"/>
        </w:rPr>
        <w:t>。</w:t>
      </w:r>
    </w:p>
    <w:p>
      <w:pPr>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422" w:firstLineChars="200"/>
        <w:jc w:val="both"/>
        <w:textAlignment w:val="auto"/>
        <w:outlineLvl w:val="1"/>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三、获取采购文件</w:t>
      </w:r>
      <w:bookmarkEnd w:id="23"/>
      <w:bookmarkEnd w:id="24"/>
      <w:bookmarkEnd w:id="25"/>
      <w:bookmarkEnd w:id="26"/>
      <w:bookmarkEnd w:id="27"/>
      <w:bookmarkEnd w:id="28"/>
    </w:p>
    <w:p>
      <w:pPr>
        <w:spacing w:line="440" w:lineRule="exact"/>
        <w:ind w:firstLine="420" w:firstLineChars="200"/>
        <w:rPr>
          <w:rFonts w:ascii="宋体" w:hAnsi="宋体" w:cs="宋体"/>
          <w:i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eastAsia="zh-CN"/>
        </w:rPr>
        <w:t>2024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lang w:eastAsia="zh-CN"/>
        </w:rPr>
        <w:t>2024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地点：滁州市妇幼保健计划生育服务中心网站（http://www.czsfjzx.com/）</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方式：</w:t>
      </w:r>
      <w:r>
        <w:rPr>
          <w:rFonts w:hint="eastAsia" w:ascii="宋体" w:hAnsi="宋体" w:cs="宋体"/>
          <w:color w:val="auto"/>
          <w:sz w:val="21"/>
          <w:szCs w:val="21"/>
          <w:highlight w:val="none"/>
          <w:lang w:eastAsia="zh-CN"/>
        </w:rPr>
        <w:t>网上下载</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售价：0元</w:t>
      </w:r>
    </w:p>
    <w:p>
      <w:pPr>
        <w:keepNext/>
        <w:keepLines/>
        <w:widowControl w:val="0"/>
        <w:spacing w:before="0" w:beforeLines="0" w:after="0" w:afterLines="0" w:line="440" w:lineRule="exact"/>
        <w:ind w:firstLine="422" w:firstLineChars="200"/>
        <w:jc w:val="both"/>
        <w:outlineLvl w:val="1"/>
        <w:rPr>
          <w:rFonts w:ascii="宋体" w:hAnsi="宋体" w:eastAsia="宋体" w:cs="宋体"/>
          <w:b/>
          <w:bCs w:val="0"/>
          <w:color w:val="auto"/>
          <w:kern w:val="0"/>
          <w:sz w:val="21"/>
          <w:szCs w:val="21"/>
          <w:highlight w:val="none"/>
          <w:lang w:val="en-US" w:eastAsia="zh-CN" w:bidi="ar-SA"/>
        </w:rPr>
      </w:pPr>
      <w:bookmarkStart w:id="29" w:name="_Toc46164851"/>
      <w:bookmarkStart w:id="30" w:name="_Toc28359016"/>
      <w:bookmarkStart w:id="31" w:name="_Toc32117"/>
      <w:bookmarkStart w:id="32" w:name="_Toc35393633"/>
      <w:bookmarkStart w:id="33" w:name="_Toc35393802"/>
      <w:bookmarkStart w:id="34" w:name="_Toc28359093"/>
      <w:bookmarkStart w:id="35" w:name="_Toc22081"/>
      <w:r>
        <w:rPr>
          <w:rFonts w:hint="eastAsia" w:ascii="宋体" w:hAnsi="宋体" w:eastAsia="宋体" w:cs="宋体"/>
          <w:b/>
          <w:bCs w:val="0"/>
          <w:color w:val="auto"/>
          <w:kern w:val="0"/>
          <w:sz w:val="21"/>
          <w:szCs w:val="21"/>
          <w:highlight w:val="none"/>
          <w:lang w:val="en-US" w:eastAsia="zh-CN" w:bidi="ar-SA"/>
        </w:rPr>
        <w:t>四、开启</w:t>
      </w:r>
      <w:bookmarkEnd w:id="29"/>
      <w:bookmarkEnd w:id="30"/>
      <w:bookmarkEnd w:id="31"/>
      <w:bookmarkEnd w:id="32"/>
      <w:bookmarkEnd w:id="33"/>
      <w:bookmarkEnd w:id="34"/>
    </w:p>
    <w:p>
      <w:pPr>
        <w:spacing w:line="44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eastAsia="zh-CN"/>
        </w:rPr>
        <w:t>2024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lang w:eastAsia="zh-CN"/>
        </w:rPr>
        <w:t>时</w:t>
      </w:r>
      <w:r>
        <w:rPr>
          <w:rFonts w:hint="eastAsia" w:ascii="宋体" w:hAnsi="宋体" w:cs="宋体"/>
          <w:bCs/>
          <w:color w:val="auto"/>
          <w:szCs w:val="21"/>
          <w:highlight w:val="none"/>
          <w:u w:val="single"/>
        </w:rPr>
        <w:t>00分</w:t>
      </w:r>
      <w:r>
        <w:rPr>
          <w:rFonts w:hint="eastAsia" w:ascii="宋体" w:hAnsi="宋体" w:cs="宋体"/>
          <w:bCs/>
          <w:color w:val="auto"/>
          <w:szCs w:val="21"/>
          <w:highlight w:val="none"/>
        </w:rPr>
        <w:t>（北京时间）</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地点：滁州市丰乐大道1899号皖东国际车城A区写字楼A6栋3楼</w:t>
      </w:r>
      <w:r>
        <w:rPr>
          <w:rFonts w:hint="eastAsia" w:ascii="宋体" w:hAnsi="宋体" w:cs="宋体"/>
          <w:color w:val="auto"/>
          <w:szCs w:val="21"/>
          <w:highlight w:val="none"/>
          <w:lang w:eastAsia="zh-CN"/>
        </w:rPr>
        <w:t>会议室</w:t>
      </w:r>
    </w:p>
    <w:p>
      <w:pPr>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422" w:firstLineChars="200"/>
        <w:jc w:val="both"/>
        <w:textAlignment w:val="auto"/>
        <w:outlineLvl w:val="1"/>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五、公告期限</w:t>
      </w:r>
      <w:bookmarkEnd w:id="35"/>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pPr>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422" w:firstLineChars="200"/>
        <w:jc w:val="both"/>
        <w:textAlignment w:val="auto"/>
        <w:outlineLvl w:val="1"/>
        <w:rPr>
          <w:rFonts w:hint="eastAsia" w:ascii="宋体" w:hAnsi="宋体" w:eastAsia="宋体" w:cs="宋体"/>
          <w:b/>
          <w:bCs w:val="0"/>
          <w:color w:val="auto"/>
          <w:kern w:val="0"/>
          <w:sz w:val="21"/>
          <w:szCs w:val="21"/>
          <w:highlight w:val="none"/>
          <w:lang w:val="en-US" w:eastAsia="zh-CN" w:bidi="ar-SA"/>
        </w:rPr>
      </w:pPr>
      <w:bookmarkStart w:id="36" w:name="_Toc22323"/>
      <w:r>
        <w:rPr>
          <w:rFonts w:hint="eastAsia" w:ascii="宋体" w:hAnsi="宋体" w:eastAsia="宋体" w:cs="宋体"/>
          <w:b/>
          <w:bCs w:val="0"/>
          <w:color w:val="auto"/>
          <w:kern w:val="0"/>
          <w:sz w:val="21"/>
          <w:szCs w:val="21"/>
          <w:highlight w:val="none"/>
          <w:lang w:val="en-US" w:eastAsia="zh-CN" w:bidi="ar-SA"/>
        </w:rPr>
        <w:t>六、保证金金额及缴纳账户</w:t>
      </w:r>
      <w:bookmarkEnd w:id="36"/>
    </w:p>
    <w:p>
      <w:pPr>
        <w:keepNext w:val="0"/>
        <w:keepLines w:val="0"/>
        <w:pageBreakBefore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 xml:space="preserve">1.是否要求供应商提交保证金：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不要求。</w:t>
      </w:r>
      <w:r>
        <w:rPr>
          <w:rFonts w:hint="eastAsia" w:ascii="宋体" w:hAnsi="宋体" w:eastAsia="宋体" w:cs="宋体"/>
          <w:color w:val="auto"/>
          <w:kern w:val="0"/>
          <w:sz w:val="21"/>
          <w:szCs w:val="21"/>
          <w:highlight w:val="none"/>
        </w:rPr>
        <w:t xml:space="preserve"> </w:t>
      </w:r>
    </w:p>
    <w:p>
      <w:pPr>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422" w:firstLineChars="200"/>
        <w:jc w:val="both"/>
        <w:textAlignment w:val="auto"/>
        <w:outlineLvl w:val="1"/>
        <w:rPr>
          <w:rFonts w:hint="eastAsia" w:ascii="宋体" w:hAnsi="宋体" w:eastAsia="宋体" w:cs="宋体"/>
          <w:b/>
          <w:bCs w:val="0"/>
          <w:color w:val="auto"/>
          <w:kern w:val="0"/>
          <w:sz w:val="21"/>
          <w:szCs w:val="21"/>
          <w:highlight w:val="none"/>
          <w:lang w:val="en-US" w:eastAsia="zh-CN" w:bidi="ar-SA"/>
        </w:rPr>
      </w:pPr>
      <w:bookmarkStart w:id="37" w:name="_Toc46164852"/>
      <w:bookmarkStart w:id="38" w:name="_Toc16714"/>
      <w:r>
        <w:rPr>
          <w:rFonts w:hint="eastAsia" w:ascii="宋体" w:hAnsi="宋体" w:eastAsia="宋体" w:cs="宋体"/>
          <w:b/>
          <w:bCs w:val="0"/>
          <w:color w:val="auto"/>
          <w:kern w:val="0"/>
          <w:sz w:val="21"/>
          <w:szCs w:val="21"/>
          <w:highlight w:val="none"/>
          <w:lang w:val="en-US" w:eastAsia="zh-CN" w:bidi="ar-SA"/>
        </w:rPr>
        <w:t>七、其他补充事宜</w:t>
      </w:r>
      <w:bookmarkEnd w:id="37"/>
      <w:bookmarkEnd w:id="38"/>
    </w:p>
    <w:p>
      <w:pPr>
        <w:pageBreakBefore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无</w:t>
      </w:r>
      <w:r>
        <w:rPr>
          <w:rFonts w:hint="eastAsia" w:ascii="宋体" w:hAnsi="宋体" w:eastAsia="宋体" w:cs="宋体"/>
          <w:color w:val="auto"/>
          <w:sz w:val="21"/>
          <w:szCs w:val="21"/>
          <w:highlight w:val="none"/>
        </w:rPr>
        <w:t>。</w:t>
      </w:r>
    </w:p>
    <w:p>
      <w:pPr>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422" w:firstLineChars="200"/>
        <w:jc w:val="both"/>
        <w:textAlignment w:val="auto"/>
        <w:outlineLvl w:val="1"/>
        <w:rPr>
          <w:rFonts w:hint="eastAsia" w:ascii="宋体" w:hAnsi="宋体" w:eastAsia="宋体" w:cs="宋体"/>
          <w:b/>
          <w:bCs w:val="0"/>
          <w:color w:val="auto"/>
          <w:kern w:val="0"/>
          <w:sz w:val="21"/>
          <w:szCs w:val="21"/>
          <w:highlight w:val="none"/>
          <w:lang w:val="en-US" w:eastAsia="zh-CN" w:bidi="ar-SA"/>
        </w:rPr>
      </w:pPr>
      <w:bookmarkStart w:id="39" w:name="_Toc46164853"/>
      <w:bookmarkStart w:id="40" w:name="_Toc20339"/>
      <w:r>
        <w:rPr>
          <w:rFonts w:hint="eastAsia" w:ascii="宋体" w:hAnsi="宋体" w:eastAsia="宋体" w:cs="宋体"/>
          <w:b/>
          <w:bCs w:val="0"/>
          <w:color w:val="auto"/>
          <w:kern w:val="0"/>
          <w:sz w:val="21"/>
          <w:szCs w:val="21"/>
          <w:highlight w:val="none"/>
          <w:lang w:val="en-US" w:eastAsia="zh-CN" w:bidi="ar-SA"/>
        </w:rPr>
        <w:t>八、凡对本次采购提出询问，请按以下方式联系。</w:t>
      </w:r>
      <w:bookmarkEnd w:id="39"/>
      <w:bookmarkEnd w:id="40"/>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auto"/>
          <w:sz w:val="21"/>
          <w:szCs w:val="21"/>
          <w:highlight w:val="none"/>
          <w:lang w:val="en-US" w:eastAsia="zh-CN"/>
        </w:rPr>
      </w:pPr>
      <w:bookmarkStart w:id="41" w:name="_Toc46164856"/>
      <w:r>
        <w:rPr>
          <w:rFonts w:hint="eastAsia" w:ascii="宋体" w:hAnsi="宋体" w:cs="宋体"/>
          <w:color w:val="auto"/>
          <w:sz w:val="21"/>
          <w:szCs w:val="21"/>
          <w:highlight w:val="none"/>
          <w:lang w:val="en-US" w:eastAsia="zh-CN"/>
        </w:rPr>
        <w:t>1.采购人信息</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称：滁州市妇幼保健计划生育服务中心</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址：滁州市南谯区醉翁西路与西涧南路交叉口东北角儿童医院院区内东楼</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联系人：刁文婷</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联系方式：0550-3029385</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2.采购代理机构信息</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称：安徽立地工程咨询有限公司</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址：滁州市丰乐大道1899号皖东国际车城A区写字楼A6栋3楼</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联系人：曾工</w:t>
      </w:r>
    </w:p>
    <w:p>
      <w:pPr>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联系方式：18755015380</w:t>
      </w:r>
    </w:p>
    <w:bookmarkEnd w:id="41"/>
    <w:p>
      <w:pPr>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pStyle w:val="20"/>
        <w:ind w:left="0" w:firstLine="420" w:firstLineChars="200"/>
        <w:rPr>
          <w:rFonts w:hint="eastAsia" w:ascii="宋体" w:hAnsi="宋体" w:eastAsia="宋体" w:cs="宋体"/>
          <w:color w:val="auto"/>
          <w:sz w:val="21"/>
          <w:szCs w:val="21"/>
          <w:highlight w:val="none"/>
        </w:rPr>
        <w:sectPr>
          <w:footerReference r:id="rId6" w:type="default"/>
          <w:pgSz w:w="11906" w:h="16838"/>
          <w:pgMar w:top="1134" w:right="1417" w:bottom="1134" w:left="1417" w:header="680" w:footer="680" w:gutter="0"/>
          <w:pgNumType w:fmt="decimal"/>
          <w:cols w:space="0" w:num="1"/>
          <w:rtlGutter w:val="0"/>
          <w:docGrid w:type="lines" w:linePitch="312" w:charSpace="0"/>
        </w:sectPr>
      </w:pPr>
    </w:p>
    <w:p>
      <w:pPr>
        <w:spacing w:before="156" w:beforeLines="50" w:after="156" w:afterLines="50" w:line="440" w:lineRule="exact"/>
        <w:jc w:val="center"/>
        <w:outlineLvl w:val="0"/>
        <w:rPr>
          <w:rFonts w:hint="eastAsia" w:ascii="宋体" w:hAnsi="宋体" w:cs="宋体"/>
          <w:b/>
          <w:bCs/>
          <w:color w:val="auto"/>
          <w:sz w:val="32"/>
          <w:szCs w:val="32"/>
          <w:highlight w:val="none"/>
        </w:rPr>
      </w:pPr>
      <w:bookmarkStart w:id="42" w:name="_Toc17947"/>
      <w:bookmarkStart w:id="43" w:name="_Toc15129"/>
      <w:bookmarkStart w:id="44" w:name="_Toc40723415"/>
      <w:r>
        <w:rPr>
          <w:rFonts w:hint="eastAsia" w:ascii="宋体" w:hAnsi="宋体" w:cs="宋体"/>
          <w:b/>
          <w:bCs/>
          <w:color w:val="auto"/>
          <w:sz w:val="32"/>
          <w:szCs w:val="32"/>
          <w:highlight w:val="none"/>
        </w:rPr>
        <w:t xml:space="preserve">第二章  </w:t>
      </w:r>
      <w:r>
        <w:rPr>
          <w:rFonts w:hint="eastAsia" w:ascii="宋体" w:hAnsi="宋体" w:cs="宋体"/>
          <w:b/>
          <w:bCs/>
          <w:color w:val="auto"/>
          <w:sz w:val="32"/>
          <w:szCs w:val="32"/>
          <w:highlight w:val="none"/>
          <w:lang w:eastAsia="zh-CN"/>
        </w:rPr>
        <w:t>供应商</w:t>
      </w:r>
      <w:r>
        <w:rPr>
          <w:rFonts w:hint="eastAsia" w:ascii="宋体" w:hAnsi="宋体" w:cs="宋体"/>
          <w:b/>
          <w:bCs/>
          <w:color w:val="auto"/>
          <w:sz w:val="32"/>
          <w:szCs w:val="32"/>
          <w:highlight w:val="none"/>
        </w:rPr>
        <w:t>须知</w:t>
      </w:r>
      <w:bookmarkEnd w:id="6"/>
      <w:bookmarkEnd w:id="7"/>
      <w:bookmarkEnd w:id="8"/>
      <w:bookmarkEnd w:id="42"/>
      <w:bookmarkEnd w:id="43"/>
      <w:bookmarkEnd w:id="44"/>
    </w:p>
    <w:p>
      <w:pPr>
        <w:spacing w:before="156" w:beforeLines="50" w:after="156" w:afterLines="50" w:line="440" w:lineRule="exact"/>
        <w:jc w:val="center"/>
        <w:outlineLvl w:val="1"/>
        <w:rPr>
          <w:rFonts w:hint="eastAsia" w:ascii="宋体" w:hAnsi="宋体" w:cs="宋体"/>
          <w:b/>
          <w:bCs/>
          <w:color w:val="auto"/>
          <w:sz w:val="28"/>
          <w:szCs w:val="28"/>
          <w:highlight w:val="none"/>
        </w:rPr>
      </w:pPr>
      <w:bookmarkStart w:id="45" w:name="_Toc40723416"/>
      <w:bookmarkStart w:id="46" w:name="_Toc11113"/>
      <w:r>
        <w:rPr>
          <w:rFonts w:hint="eastAsia" w:ascii="宋体" w:hAnsi="宋体" w:cs="宋体"/>
          <w:b/>
          <w:bCs/>
          <w:color w:val="auto"/>
          <w:sz w:val="28"/>
          <w:szCs w:val="28"/>
          <w:highlight w:val="none"/>
        </w:rPr>
        <w:t>A.</w:t>
      </w:r>
      <w:r>
        <w:rPr>
          <w:rFonts w:hint="eastAsia" w:ascii="宋体" w:hAnsi="宋体" w:cs="宋体"/>
          <w:b/>
          <w:bCs/>
          <w:color w:val="auto"/>
          <w:sz w:val="28"/>
          <w:szCs w:val="28"/>
          <w:highlight w:val="none"/>
          <w:lang w:eastAsia="zh-CN"/>
        </w:rPr>
        <w:t>供应商</w:t>
      </w:r>
      <w:r>
        <w:rPr>
          <w:rFonts w:hint="eastAsia" w:ascii="宋体" w:hAnsi="宋体" w:cs="宋体"/>
          <w:b/>
          <w:bCs/>
          <w:color w:val="auto"/>
          <w:sz w:val="28"/>
          <w:szCs w:val="28"/>
          <w:highlight w:val="none"/>
        </w:rPr>
        <w:t>须知前附表</w:t>
      </w:r>
      <w:bookmarkEnd w:id="45"/>
      <w:bookmarkEnd w:id="46"/>
    </w:p>
    <w:tbl>
      <w:tblPr>
        <w:tblStyle w:val="23"/>
        <w:tblW w:w="10104" w:type="dxa"/>
        <w:jc w:val="center"/>
        <w:tblLayout w:type="fixed"/>
        <w:tblCellMar>
          <w:top w:w="0" w:type="dxa"/>
          <w:left w:w="108" w:type="dxa"/>
          <w:bottom w:w="0" w:type="dxa"/>
          <w:right w:w="108" w:type="dxa"/>
        </w:tblCellMar>
      </w:tblPr>
      <w:tblGrid>
        <w:gridCol w:w="868"/>
        <w:gridCol w:w="910"/>
        <w:gridCol w:w="1220"/>
        <w:gridCol w:w="7106"/>
      </w:tblGrid>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  款  名  称</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kinsoku/>
              <w:wordWrap/>
              <w:overflowPunct/>
              <w:autoSpaceDE/>
              <w:autoSpaceDN/>
              <w:bidi w:val="0"/>
              <w:adjustRightInd/>
              <w:snapToGrid/>
              <w:spacing w:line="44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 称：滁州市妇幼保健计划生育服务中心</w:t>
            </w:r>
          </w:p>
          <w:p>
            <w:pPr>
              <w:pStyle w:val="40"/>
              <w:keepNext w:val="0"/>
              <w:keepLines w:val="0"/>
              <w:pageBreakBefore w:val="0"/>
              <w:kinsoku/>
              <w:wordWrap/>
              <w:overflowPunct/>
              <w:autoSpaceDE/>
              <w:autoSpaceDN/>
              <w:bidi w:val="0"/>
              <w:adjustRightInd/>
              <w:snapToGrid/>
              <w:spacing w:line="44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址：滁州市南谯区醉翁西路与西涧南路交叉口东北角儿童医院院区内东楼</w:t>
            </w:r>
          </w:p>
          <w:p>
            <w:pPr>
              <w:pStyle w:val="40"/>
              <w:keepNext w:val="0"/>
              <w:keepLines w:val="0"/>
              <w:pageBreakBefore w:val="0"/>
              <w:kinsoku/>
              <w:wordWrap/>
              <w:overflowPunct/>
              <w:autoSpaceDE/>
              <w:autoSpaceDN/>
              <w:bidi w:val="0"/>
              <w:adjustRightInd/>
              <w:snapToGrid/>
              <w:spacing w:line="44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联系人：刁文婷</w:t>
            </w:r>
          </w:p>
          <w:p>
            <w:pPr>
              <w:pStyle w:val="40"/>
              <w:keepNext w:val="0"/>
              <w:keepLines w:val="0"/>
              <w:pageBreakBefore w:val="0"/>
              <w:kinsoku/>
              <w:wordWrap/>
              <w:overflowPunct/>
              <w:autoSpaceDE/>
              <w:autoSpaceDN/>
              <w:bidi w:val="0"/>
              <w:adjustRightInd/>
              <w:snapToGrid/>
              <w:spacing w:line="440" w:lineRule="exact"/>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联系方式：0550-30</w:t>
            </w:r>
            <w:r>
              <w:rPr>
                <w:rFonts w:hint="eastAsia" w:ascii="宋体" w:hAnsi="宋体" w:cs="宋体"/>
                <w:color w:val="auto"/>
                <w:kern w:val="2"/>
                <w:sz w:val="21"/>
                <w:szCs w:val="21"/>
                <w:highlight w:val="none"/>
                <w:lang w:val="en-US" w:eastAsia="zh-CN"/>
              </w:rPr>
              <w:t>29385</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安徽立地工程咨询有限公司</w:t>
            </w:r>
          </w:p>
          <w:p>
            <w:pPr>
              <w:keepNext w:val="0"/>
              <w:keepLines w:val="0"/>
              <w:pageBreakBefore w:val="0"/>
              <w:kinsoku/>
              <w:wordWrap/>
              <w:overflowPunct/>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滁州市丰乐大道1899号皖东国际车城A区写字楼A6栋3楼</w:t>
            </w:r>
          </w:p>
          <w:p>
            <w:pPr>
              <w:keepNext w:val="0"/>
              <w:keepLines w:val="0"/>
              <w:pageBreakBefore w:val="0"/>
              <w:kinsoku/>
              <w:wordWrap/>
              <w:overflowPunct/>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曾工</w:t>
            </w:r>
          </w:p>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18755015380</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2024年滁州市妇幼保健计划生育服务中心新院区窗帘、纱窗采购项目</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滁州市</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r>
              <w:rPr>
                <w:rFonts w:hint="eastAsia" w:ascii="宋体" w:hAnsi="宋体" w:cs="宋体"/>
                <w:color w:val="auto"/>
                <w:sz w:val="21"/>
                <w:szCs w:val="21"/>
                <w:highlight w:val="none"/>
                <w:lang w:eastAsia="zh-CN"/>
              </w:rPr>
              <w:t>单位</w:t>
            </w:r>
            <w:r>
              <w:rPr>
                <w:rFonts w:hint="eastAsia" w:ascii="宋体" w:hAnsi="宋体" w:cs="宋体"/>
                <w:color w:val="auto"/>
                <w:sz w:val="21"/>
                <w:szCs w:val="21"/>
                <w:highlight w:val="none"/>
                <w:lang w:val="en-US" w:eastAsia="zh-CN"/>
              </w:rPr>
              <w:t>资金</w:t>
            </w:r>
            <w:r>
              <w:rPr>
                <w:rFonts w:hint="eastAsia" w:ascii="宋体" w:hAnsi="宋体" w:eastAsia="宋体" w:cs="宋体"/>
                <w:color w:val="auto"/>
                <w:sz w:val="21"/>
                <w:szCs w:val="21"/>
                <w:highlight w:val="none"/>
              </w:rPr>
              <w:t xml:space="preserve"> ；比例：100%</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lang w:eastAsia="zh-CN"/>
              </w:rPr>
              <w:t>）</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2024年滁州市妇幼保健计划生育服务中心新院区窗帘、纱窗采购项目，具体详见采购清单。</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标包划分</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个标包</w:t>
            </w:r>
            <w:r>
              <w:rPr>
                <w:rFonts w:hint="eastAsia" w:ascii="宋体" w:hAnsi="宋体" w:eastAsia="宋体" w:cs="宋体"/>
                <w:color w:val="auto"/>
                <w:sz w:val="21"/>
                <w:szCs w:val="21"/>
                <w:highlight w:val="none"/>
                <w:u w:val="none"/>
                <w:lang w:val="en-US" w:eastAsia="zh-CN"/>
              </w:rPr>
              <w:t>。</w:t>
            </w:r>
          </w:p>
        </w:tc>
      </w:tr>
      <w:tr>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办法</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最低价评审法</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个日历天内完成所有货物的供货、安装、验收工作。</w:t>
            </w:r>
          </w:p>
        </w:tc>
      </w:tr>
      <w:tr>
        <w:tblPrEx>
          <w:tblCellMar>
            <w:top w:w="0" w:type="dxa"/>
            <w:left w:w="108" w:type="dxa"/>
            <w:bottom w:w="0" w:type="dxa"/>
            <w:right w:w="108" w:type="dxa"/>
          </w:tblCellMar>
        </w:tblPrEx>
        <w:trPr>
          <w:trHeight w:val="44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符合采购人及国家有关部门要求</w:t>
            </w:r>
            <w:r>
              <w:rPr>
                <w:rFonts w:hint="eastAsia" w:ascii="宋体" w:hAnsi="宋体" w:eastAsia="宋体" w:cs="宋体"/>
                <w:color w:val="auto"/>
                <w:sz w:val="21"/>
                <w:szCs w:val="21"/>
                <w:highlight w:val="none"/>
              </w:rPr>
              <w:t xml:space="preserve">。 </w:t>
            </w:r>
          </w:p>
        </w:tc>
      </w:tr>
      <w:tr>
        <w:tblPrEx>
          <w:tblCellMar>
            <w:top w:w="0" w:type="dxa"/>
            <w:left w:w="108" w:type="dxa"/>
            <w:bottom w:w="0" w:type="dxa"/>
            <w:right w:w="108" w:type="dxa"/>
          </w:tblCellMar>
        </w:tblPrEx>
        <w:trPr>
          <w:trHeight w:val="713" w:hRule="atLeast"/>
          <w:jc w:val="center"/>
        </w:trPr>
        <w:tc>
          <w:tcPr>
            <w:tcW w:w="8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资质条件、能力和信誉</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详见竞争性谈判公告</w:t>
            </w:r>
          </w:p>
        </w:tc>
      </w:tr>
      <w:tr>
        <w:tblPrEx>
          <w:tblCellMar>
            <w:top w:w="0" w:type="dxa"/>
            <w:left w:w="108" w:type="dxa"/>
            <w:bottom w:w="0" w:type="dxa"/>
            <w:right w:w="108" w:type="dxa"/>
          </w:tblCellMar>
        </w:tblPrEx>
        <w:trPr>
          <w:jc w:val="center"/>
        </w:trPr>
        <w:tc>
          <w:tcPr>
            <w:tcW w:w="86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谈判文件发布时间：</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详见竞争性谈判公告</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踏勘现场</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autoSpaceDE/>
              <w:autoSpaceDN/>
              <w:bidi w:val="0"/>
              <w:adjustRightInd/>
              <w:snapToGrid/>
              <w:spacing w:line="440" w:lineRule="exac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kern w:val="0"/>
                <w:sz w:val="21"/>
                <w:szCs w:val="21"/>
                <w:highlight w:val="none"/>
              </w:rPr>
              <w:t>不组织，</w:t>
            </w:r>
            <w:r>
              <w:rPr>
                <w:rFonts w:hint="eastAsia" w:ascii="宋体" w:hAnsi="宋体" w:eastAsia="宋体" w:cs="宋体"/>
                <w:color w:val="auto"/>
                <w:spacing w:val="-4"/>
                <w:kern w:val="0"/>
                <w:sz w:val="21"/>
                <w:szCs w:val="21"/>
                <w:highlight w:val="none"/>
                <w:lang w:eastAsia="zh-CN"/>
              </w:rPr>
              <w:t>供应商</w:t>
            </w:r>
            <w:r>
              <w:rPr>
                <w:rFonts w:hint="eastAsia" w:ascii="宋体" w:hAnsi="宋体" w:eastAsia="宋体" w:cs="宋体"/>
                <w:color w:val="auto"/>
                <w:spacing w:val="-4"/>
                <w:kern w:val="0"/>
                <w:sz w:val="21"/>
                <w:szCs w:val="21"/>
                <w:highlight w:val="none"/>
              </w:rPr>
              <w:t>自行组织踏勘现场</w:t>
            </w:r>
            <w:r>
              <w:rPr>
                <w:rFonts w:hint="eastAsia" w:ascii="宋体" w:hAnsi="宋体" w:eastAsia="宋体" w:cs="宋体"/>
                <w:color w:val="auto"/>
                <w:sz w:val="21"/>
                <w:szCs w:val="21"/>
                <w:highlight w:val="none"/>
              </w:rPr>
              <w:t>；  □组织</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lang w:val="en-US" w:eastAsia="zh-CN"/>
              </w:rPr>
              <w:t>响应</w:t>
            </w:r>
            <w:r>
              <w:rPr>
                <w:rFonts w:hint="eastAsia" w:ascii="宋体" w:hAnsi="宋体" w:eastAsia="宋体" w:cs="宋体"/>
                <w:color w:val="auto"/>
                <w:spacing w:val="-4"/>
                <w:kern w:val="0"/>
                <w:sz w:val="21"/>
                <w:szCs w:val="21"/>
                <w:highlight w:val="none"/>
              </w:rPr>
              <w:t>预备会</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autoSpaceDE/>
              <w:autoSpaceDN/>
              <w:bidi w:val="0"/>
              <w:adjustRightInd/>
              <w:snapToGrid/>
              <w:spacing w:line="440" w:lineRule="exac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kern w:val="0"/>
                <w:sz w:val="21"/>
                <w:szCs w:val="21"/>
                <w:highlight w:val="none"/>
              </w:rPr>
              <w:t>不召开</w:t>
            </w:r>
            <w:r>
              <w:rPr>
                <w:rFonts w:hint="eastAsia" w:ascii="宋体" w:hAnsi="宋体" w:eastAsia="宋体" w:cs="宋体"/>
                <w:color w:val="auto"/>
                <w:sz w:val="21"/>
                <w:szCs w:val="21"/>
                <w:highlight w:val="none"/>
              </w:rPr>
              <w:t>；  □召开</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提出问题的截止时间及方式</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如供应商对谈判文件有疑问，请于</w:t>
            </w:r>
            <w:r>
              <w:rPr>
                <w:rFonts w:hint="eastAsia" w:ascii="宋体" w:hAnsi="宋体" w:cs="宋体"/>
                <w:b/>
                <w:bCs/>
                <w:color w:val="auto"/>
                <w:szCs w:val="21"/>
                <w:highlight w:val="none"/>
                <w:lang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日1</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时</w:t>
            </w:r>
            <w:r>
              <w:rPr>
                <w:rFonts w:hint="eastAsia" w:ascii="宋体" w:hAnsi="宋体" w:cs="宋体"/>
                <w:color w:val="auto"/>
                <w:szCs w:val="21"/>
                <w:highlight w:val="none"/>
              </w:rPr>
              <w:t>前将疑问内容以电子邮件形式发送至</w:t>
            </w:r>
            <w:r>
              <w:rPr>
                <w:rFonts w:hint="eastAsia" w:ascii="宋体" w:hAnsi="宋体" w:cs="宋体"/>
                <w:color w:val="auto"/>
                <w:szCs w:val="21"/>
                <w:highlight w:val="none"/>
                <w:lang w:eastAsia="zh-CN"/>
              </w:rPr>
              <w:t>ahldzb@126.com</w:t>
            </w:r>
            <w:r>
              <w:rPr>
                <w:rFonts w:hint="eastAsia" w:ascii="宋体" w:hAnsi="宋体" w:cs="宋体"/>
                <w:color w:val="auto"/>
                <w:szCs w:val="21"/>
                <w:highlight w:val="none"/>
              </w:rPr>
              <w:t xml:space="preserve">电子邮箱。 </w:t>
            </w:r>
          </w:p>
        </w:tc>
      </w:tr>
      <w:tr>
        <w:tblPrEx>
          <w:tblCellMar>
            <w:top w:w="0" w:type="dxa"/>
            <w:left w:w="108" w:type="dxa"/>
            <w:bottom w:w="0" w:type="dxa"/>
            <w:right w:w="108" w:type="dxa"/>
          </w:tblCellMar>
        </w:tblPrEx>
        <w:trPr>
          <w:trHeight w:val="94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澄清的时间及方式</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日1</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时前</w:t>
            </w:r>
            <w:r>
              <w:rPr>
                <w:rFonts w:hint="eastAsia" w:ascii="宋体" w:hAnsi="宋体" w:cs="宋体"/>
                <w:color w:val="auto"/>
                <w:szCs w:val="21"/>
                <w:highlight w:val="none"/>
              </w:rPr>
              <w:t>以澄清公告形式在</w:t>
            </w:r>
            <w:r>
              <w:rPr>
                <w:rFonts w:hint="eastAsia" w:ascii="宋体" w:hAnsi="宋体" w:cs="宋体"/>
                <w:color w:val="auto"/>
                <w:szCs w:val="21"/>
                <w:highlight w:val="none"/>
                <w:lang w:eastAsia="zh-CN"/>
              </w:rPr>
              <w:t>滁州市妇幼保健计划生育服务中心网站（http://www.czsfjzx.com/）</w:t>
            </w:r>
            <w:r>
              <w:rPr>
                <w:rFonts w:hint="eastAsia" w:ascii="宋体" w:hAnsi="宋体" w:cs="宋体"/>
                <w:color w:val="auto"/>
                <w:szCs w:val="21"/>
                <w:highlight w:val="none"/>
              </w:rPr>
              <w:t>予以公告。</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bdr w:val="single" w:color="auto" w:sz="4" w:space="0"/>
              </w:rPr>
              <w:t>√</w:t>
            </w:r>
            <w:r>
              <w:rPr>
                <w:rFonts w:hint="eastAsia" w:ascii="宋体" w:hAnsi="宋体" w:eastAsia="宋体" w:cs="宋体"/>
                <w:color w:val="auto"/>
                <w:sz w:val="21"/>
                <w:szCs w:val="21"/>
                <w:highlight w:val="none"/>
              </w:rPr>
              <w:t>不允许；□允许</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构成谈判文件的其他材料</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澄清答疑文件。</w:t>
            </w:r>
          </w:p>
        </w:tc>
      </w:tr>
      <w:tr>
        <w:tblPrEx>
          <w:tblCellMar>
            <w:top w:w="0" w:type="dxa"/>
            <w:left w:w="108" w:type="dxa"/>
            <w:bottom w:w="0" w:type="dxa"/>
            <w:right w:w="108" w:type="dxa"/>
          </w:tblCellMar>
        </w:tblPrEx>
        <w:trPr>
          <w:trHeight w:val="120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要求澄清谈判文件的截止时间及方式</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同本表第13条</w:t>
            </w:r>
          </w:p>
        </w:tc>
      </w:tr>
      <w:tr>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最高投标限价</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b/>
                <w:color w:val="auto"/>
                <w:sz w:val="21"/>
                <w:szCs w:val="21"/>
                <w:highlight w:val="none"/>
              </w:rPr>
            </w:pPr>
            <w:r>
              <w:rPr>
                <w:rFonts w:hint="eastAsia" w:ascii="宋体" w:hAnsi="宋体" w:cs="宋体"/>
                <w:b/>
                <w:bCs/>
                <w:color w:val="auto"/>
                <w:sz w:val="21"/>
                <w:szCs w:val="21"/>
                <w:highlight w:val="none"/>
                <w:lang w:val="en-US" w:eastAsia="zh-CN"/>
              </w:rPr>
              <w:t>壹拾万元整（100000.00元）</w:t>
            </w:r>
            <w:r>
              <w:rPr>
                <w:rFonts w:hint="eastAsia" w:ascii="宋体" w:hAnsi="宋体" w:eastAsia="宋体" w:cs="宋体"/>
                <w:b/>
                <w:bCs/>
                <w:color w:val="auto"/>
                <w:sz w:val="21"/>
                <w:szCs w:val="21"/>
                <w:highlight w:val="none"/>
                <w:lang w:val="en-US" w:eastAsia="zh-CN"/>
              </w:rPr>
              <w:t>。高于最高限价的</w:t>
            </w:r>
            <w:r>
              <w:rPr>
                <w:rFonts w:hint="eastAsia" w:ascii="宋体" w:hAnsi="宋体" w:eastAsia="宋体" w:cs="宋体"/>
                <w:b/>
                <w:bCs/>
                <w:color w:val="auto"/>
                <w:sz w:val="21"/>
                <w:szCs w:val="21"/>
                <w:highlight w:val="none"/>
              </w:rPr>
              <w:t>，其响应文件按无效响应处理。</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有效期</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日历天（从截止之日算起）。在此期限内，凡符合本谈判文件要求的响应文件均保持有效。</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谈判保证金</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不要求</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签字或盖章要求</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响应文件须按格式文件要求签字或盖章，否则经</w:t>
            </w:r>
            <w:r>
              <w:rPr>
                <w:rFonts w:hint="eastAsia" w:ascii="宋体" w:hAnsi="宋体" w:eastAsia="宋体" w:cs="宋体"/>
                <w:color w:val="auto"/>
                <w:sz w:val="21"/>
                <w:szCs w:val="21"/>
                <w:highlight w:val="none"/>
                <w:lang w:val="en-US" w:eastAsia="zh-CN"/>
              </w:rPr>
              <w:t>谈判小组</w:t>
            </w:r>
            <w:r>
              <w:rPr>
                <w:rFonts w:hint="eastAsia" w:ascii="宋体" w:hAnsi="宋体" w:eastAsia="宋体" w:cs="宋体"/>
                <w:color w:val="auto"/>
                <w:sz w:val="21"/>
                <w:szCs w:val="21"/>
                <w:highlight w:val="none"/>
              </w:rPr>
              <w:t>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响应文件份数</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纸质版投标文件，并按要求加盖公章；份数：正本1份，副本2份；</w:t>
            </w:r>
          </w:p>
        </w:tc>
      </w:tr>
      <w:tr>
        <w:tblPrEx>
          <w:tblCellMar>
            <w:top w:w="0" w:type="dxa"/>
            <w:left w:w="108" w:type="dxa"/>
            <w:bottom w:w="0" w:type="dxa"/>
            <w:right w:w="108" w:type="dxa"/>
          </w:tblCellMar>
        </w:tblPrEx>
        <w:trPr>
          <w:trHeight w:val="5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投标文件提交截止时间及地点</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收件人：</w:t>
            </w:r>
            <w:r>
              <w:rPr>
                <w:rFonts w:hint="eastAsia" w:ascii="宋体" w:hAnsi="宋体" w:cs="宋体"/>
                <w:b/>
                <w:bCs/>
                <w:color w:val="auto"/>
                <w:sz w:val="21"/>
                <w:szCs w:val="21"/>
                <w:highlight w:val="none"/>
                <w:lang w:eastAsia="zh-CN"/>
              </w:rPr>
              <w:t>安徽立地工程咨询有限公司</w:t>
            </w:r>
          </w:p>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时  间：202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时00分</w:t>
            </w:r>
          </w:p>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地  点：</w:t>
            </w:r>
            <w:r>
              <w:rPr>
                <w:rFonts w:hint="eastAsia" w:ascii="宋体" w:hAnsi="宋体" w:cs="宋体"/>
                <w:b/>
                <w:bCs/>
                <w:color w:val="auto"/>
                <w:sz w:val="21"/>
                <w:szCs w:val="21"/>
                <w:highlight w:val="none"/>
                <w:lang w:eastAsia="zh-CN"/>
              </w:rPr>
              <w:t>滁州市丰乐大道1899号皖东国际车城A区写字楼A6栋3楼会议室</w:t>
            </w:r>
          </w:p>
        </w:tc>
      </w:tr>
      <w:tr>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tblPrEx>
          <w:tblCellMar>
            <w:top w:w="0" w:type="dxa"/>
            <w:left w:w="108" w:type="dxa"/>
            <w:bottom w:w="0" w:type="dxa"/>
            <w:right w:w="108" w:type="dxa"/>
          </w:tblCellMar>
        </w:tblPrEx>
        <w:trPr>
          <w:trHeight w:val="90" w:hRule="atLeast"/>
          <w:jc w:val="center"/>
        </w:trPr>
        <w:tc>
          <w:tcPr>
            <w:tcW w:w="868" w:type="dxa"/>
            <w:tcBorders>
              <w:left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13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rPr>
              <w:t>时间及地点</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时间：</w:t>
            </w:r>
            <w:r>
              <w:rPr>
                <w:rFonts w:hint="eastAsia" w:ascii="宋体" w:hAnsi="宋体" w:cs="宋体"/>
                <w:b/>
                <w:bCs/>
                <w:color w:val="auto"/>
                <w:sz w:val="21"/>
                <w:szCs w:val="21"/>
                <w:highlight w:val="none"/>
                <w:lang w:eastAsia="zh-CN"/>
              </w:rPr>
              <w:t>2024年7月12日15时00分</w:t>
            </w:r>
          </w:p>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地点：</w:t>
            </w:r>
            <w:r>
              <w:rPr>
                <w:rFonts w:hint="eastAsia" w:ascii="宋体" w:hAnsi="宋体" w:cs="宋体"/>
                <w:b/>
                <w:bCs/>
                <w:color w:val="auto"/>
                <w:sz w:val="21"/>
                <w:szCs w:val="21"/>
                <w:highlight w:val="none"/>
                <w:lang w:eastAsia="zh-CN"/>
              </w:rPr>
              <w:t>滁州市丰乐大道1899号皖东国际车城A区写字楼A6栋3楼会议室</w:t>
            </w:r>
          </w:p>
        </w:tc>
      </w:tr>
      <w:tr>
        <w:tblPrEx>
          <w:tblCellMar>
            <w:top w:w="0" w:type="dxa"/>
            <w:left w:w="108" w:type="dxa"/>
            <w:bottom w:w="0" w:type="dxa"/>
            <w:right w:w="108" w:type="dxa"/>
          </w:tblCellMar>
        </w:tblPrEx>
        <w:trPr>
          <w:trHeight w:val="41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开</w:t>
            </w:r>
            <w:r>
              <w:rPr>
                <w:rFonts w:hint="eastAsia" w:ascii="宋体" w:hAnsi="宋体" w:eastAsia="宋体" w:cs="宋体"/>
                <w:color w:val="auto"/>
                <w:sz w:val="21"/>
                <w:szCs w:val="21"/>
                <w:highlight w:val="none"/>
                <w:lang w:val="en-US" w:eastAsia="zh-CN"/>
              </w:rPr>
              <w:t>启</w:t>
            </w:r>
            <w:r>
              <w:rPr>
                <w:rFonts w:hint="eastAsia" w:ascii="宋体" w:hAnsi="宋体" w:eastAsia="宋体" w:cs="宋体"/>
                <w:color w:val="auto"/>
                <w:sz w:val="21"/>
                <w:szCs w:val="21"/>
                <w:highlight w:val="none"/>
              </w:rPr>
              <w:t>程序</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开</w:t>
            </w:r>
            <w:r>
              <w:rPr>
                <w:rFonts w:hint="eastAsia" w:ascii="宋体" w:hAnsi="宋体" w:eastAsia="宋体" w:cs="宋体"/>
                <w:b w:val="0"/>
                <w:bCs w:val="0"/>
                <w:color w:val="auto"/>
                <w:sz w:val="21"/>
                <w:szCs w:val="21"/>
                <w:highlight w:val="none"/>
                <w:lang w:val="en-US" w:eastAsia="zh-CN"/>
              </w:rPr>
              <w:t>启</w:t>
            </w:r>
            <w:r>
              <w:rPr>
                <w:rFonts w:hint="eastAsia" w:ascii="宋体" w:hAnsi="宋体" w:eastAsia="宋体" w:cs="宋体"/>
                <w:b w:val="0"/>
                <w:bCs w:val="0"/>
                <w:color w:val="auto"/>
                <w:sz w:val="21"/>
                <w:szCs w:val="21"/>
                <w:highlight w:val="none"/>
              </w:rPr>
              <w:t>顺序：在</w:t>
            </w:r>
            <w:r>
              <w:rPr>
                <w:rFonts w:hint="eastAsia" w:ascii="宋体" w:hAnsi="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的见证下开启投标文件，由</w:t>
            </w:r>
            <w:r>
              <w:rPr>
                <w:rFonts w:hint="eastAsia" w:ascii="宋体" w:hAnsi="宋体" w:eastAsia="宋体" w:cs="宋体"/>
                <w:color w:val="auto"/>
                <w:sz w:val="21"/>
                <w:szCs w:val="21"/>
                <w:highlight w:val="none"/>
              </w:rPr>
              <w:t>谈判小组</w:t>
            </w:r>
            <w:r>
              <w:rPr>
                <w:rFonts w:hint="eastAsia" w:ascii="宋体" w:hAnsi="宋体" w:eastAsia="宋体" w:cs="宋体"/>
                <w:b w:val="0"/>
                <w:bCs w:val="0"/>
                <w:color w:val="auto"/>
                <w:sz w:val="21"/>
                <w:szCs w:val="21"/>
                <w:highlight w:val="none"/>
              </w:rPr>
              <w:t>评审。</w:t>
            </w:r>
          </w:p>
        </w:tc>
      </w:tr>
      <w:tr>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谈判小组的组建</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谈判小组构成：</w:t>
            </w:r>
            <w:r>
              <w:rPr>
                <w:rFonts w:hint="eastAsia" w:ascii="宋体" w:hAnsi="宋体" w:eastAsia="宋体" w:cs="宋体"/>
                <w:color w:val="auto"/>
                <w:sz w:val="21"/>
                <w:szCs w:val="21"/>
                <w:highlight w:val="none"/>
                <w:lang w:val="en-US" w:eastAsia="zh-CN"/>
              </w:rPr>
              <w:t>由采购人依法组建。</w:t>
            </w:r>
          </w:p>
        </w:tc>
      </w:tr>
      <w:tr>
        <w:tblPrEx>
          <w:tblCellMar>
            <w:top w:w="0" w:type="dxa"/>
            <w:left w:w="108" w:type="dxa"/>
            <w:bottom w:w="0" w:type="dxa"/>
            <w:right w:w="108" w:type="dxa"/>
          </w:tblCellMar>
        </w:tblPrEx>
        <w:trPr>
          <w:trHeight w:val="88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是否授权谈判小组确定</w:t>
            </w:r>
            <w:r>
              <w:rPr>
                <w:rFonts w:hint="eastAsia" w:ascii="宋体" w:hAnsi="宋体" w:eastAsia="宋体" w:cs="宋体"/>
                <w:color w:val="auto"/>
                <w:sz w:val="21"/>
                <w:szCs w:val="21"/>
                <w:highlight w:val="none"/>
                <w:lang w:eastAsia="zh-CN"/>
              </w:rPr>
              <w:t>成交候选供应商</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是，推荐的</w:t>
            </w:r>
            <w:r>
              <w:rPr>
                <w:rFonts w:hint="eastAsia" w:ascii="宋体" w:hAnsi="宋体" w:eastAsia="宋体" w:cs="宋体"/>
                <w:color w:val="auto"/>
                <w:sz w:val="21"/>
                <w:szCs w:val="21"/>
                <w:highlight w:val="none"/>
                <w:lang w:val="en-US" w:eastAsia="zh-CN"/>
              </w:rPr>
              <w:t>成交候选供应商</w:t>
            </w:r>
            <w:r>
              <w:rPr>
                <w:rFonts w:hint="eastAsia" w:ascii="宋体" w:hAnsi="宋体" w:eastAsia="宋体" w:cs="宋体"/>
                <w:color w:val="auto"/>
                <w:sz w:val="21"/>
                <w:szCs w:val="21"/>
                <w:highlight w:val="none"/>
              </w:rPr>
              <w:t>数：</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名，并标明排序。</w:t>
            </w:r>
          </w:p>
        </w:tc>
      </w:tr>
      <w:tr>
        <w:tblPrEx>
          <w:tblCellMar>
            <w:top w:w="0" w:type="dxa"/>
            <w:left w:w="108" w:type="dxa"/>
            <w:bottom w:w="0" w:type="dxa"/>
            <w:right w:w="108" w:type="dxa"/>
          </w:tblCellMar>
        </w:tblPrEx>
        <w:trPr>
          <w:trHeight w:val="653" w:hRule="atLeast"/>
          <w:jc w:val="center"/>
        </w:trPr>
        <w:tc>
          <w:tcPr>
            <w:tcW w:w="86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13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结果公告媒介</w:t>
            </w:r>
          </w:p>
        </w:tc>
        <w:tc>
          <w:tcPr>
            <w:tcW w:w="710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滁州市妇幼保健计划生育服务中心网站（http://www.czsfjzx.com/）</w:t>
            </w:r>
          </w:p>
        </w:tc>
      </w:tr>
      <w:tr>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本项目不收取履约保证金。</w:t>
            </w:r>
          </w:p>
          <w:p>
            <w:pPr>
              <w:pStyle w:val="16"/>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中标人在政府采购活动中违反政府采购相关规定或招标文件要求，给采购人、采购代理机构造成损失的，利益受损方可向中标人主张赔偿责任，同时中标人的失信行为将被纳入诚信记录。</w:t>
            </w:r>
          </w:p>
        </w:tc>
      </w:tr>
      <w:tr>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近年完成的类似项目的年份要求</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CellMar>
            <w:top w:w="0" w:type="dxa"/>
            <w:left w:w="108" w:type="dxa"/>
            <w:bottom w:w="0" w:type="dxa"/>
            <w:right w:w="108" w:type="dxa"/>
          </w:tblCellMar>
        </w:tblPrEx>
        <w:trPr>
          <w:trHeight w:val="90" w:hRule="atLeast"/>
          <w:jc w:val="center"/>
        </w:trPr>
        <w:tc>
          <w:tcPr>
            <w:tcW w:w="101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代理服务费</w:t>
            </w: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代理服务费金额：3000元。上述费用由中标单位在获取中标通知书时一次性支付给代理公司，投标人在商务报价让利中考虑上述费用。</w:t>
            </w:r>
          </w:p>
        </w:tc>
      </w:tr>
      <w:tr>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需说明事项</w:t>
            </w: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1、本谈判文件前后条款若有不一致之处，在澄清答疑时又未作出明确规定时，各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的响应文件只要满足其中任一条款，均视为对本谈判文件的响应。</w:t>
            </w:r>
          </w:p>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公告与本谈判文件不一致之处，以本谈判文件为准。</w:t>
            </w:r>
          </w:p>
          <w:p>
            <w:pPr>
              <w:keepNext w:val="0"/>
              <w:keepLines w:val="0"/>
              <w:pageBreakBefore w:val="0"/>
              <w:kinsoku/>
              <w:wordWrap/>
              <w:overflowPunct/>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3、本项目严禁非法转包，一经发现，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依法处理。</w:t>
            </w:r>
          </w:p>
        </w:tc>
      </w:tr>
      <w:tr>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付款方式、时间、条件</w:t>
            </w: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eastAsia="zh-CN"/>
              </w:rPr>
              <w:t>合同签订生效并具备实施条件后可支付合同价的40%预付款（预付款支付前，中标人须提供同等金额的见索即付保函），供货安装并由采购人验收合格并试用</w:t>
            </w:r>
            <w:r>
              <w:rPr>
                <w:rFonts w:hint="eastAsia" w:ascii="黑体" w:hAnsi="黑体" w:eastAsia="黑体" w:cs="黑体"/>
                <w:b/>
                <w:bCs/>
                <w:color w:val="auto"/>
                <w:sz w:val="21"/>
                <w:szCs w:val="21"/>
                <w:highlight w:val="none"/>
                <w:lang w:val="en-US" w:eastAsia="zh-CN"/>
              </w:rPr>
              <w:t>3周</w:t>
            </w:r>
            <w:r>
              <w:rPr>
                <w:rFonts w:hint="eastAsia" w:ascii="黑体" w:hAnsi="黑体" w:eastAsia="黑体" w:cs="黑体"/>
                <w:b/>
                <w:bCs/>
                <w:color w:val="auto"/>
                <w:sz w:val="21"/>
                <w:szCs w:val="21"/>
                <w:highlight w:val="none"/>
                <w:lang w:eastAsia="zh-CN"/>
              </w:rPr>
              <w:t>后，付至合同价款的</w:t>
            </w:r>
            <w:r>
              <w:rPr>
                <w:rFonts w:hint="eastAsia" w:ascii="黑体" w:hAnsi="黑体" w:eastAsia="黑体" w:cs="黑体"/>
                <w:b/>
                <w:bCs/>
                <w:color w:val="auto"/>
                <w:sz w:val="21"/>
                <w:szCs w:val="21"/>
                <w:highlight w:val="none"/>
                <w:lang w:val="en-US" w:eastAsia="zh-CN"/>
              </w:rPr>
              <w:t>100%</w:t>
            </w:r>
            <w:r>
              <w:rPr>
                <w:rFonts w:hint="eastAsia" w:ascii="黑体" w:hAnsi="黑体" w:eastAsia="黑体" w:cs="黑体"/>
                <w:b/>
                <w:bCs/>
                <w:color w:val="auto"/>
                <w:sz w:val="21"/>
                <w:szCs w:val="21"/>
                <w:highlight w:val="none"/>
                <w:lang w:eastAsia="zh-CN"/>
              </w:rPr>
              <w:t>。</w:t>
            </w:r>
          </w:p>
        </w:tc>
      </w:tr>
    </w:tbl>
    <w:p>
      <w:pPr>
        <w:pStyle w:val="7"/>
        <w:pageBreakBefore/>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47" w:name="_Toc16636"/>
      <w:bookmarkStart w:id="48" w:name="_Toc6600"/>
      <w:bookmarkStart w:id="49" w:name="_Toc16771"/>
      <w:bookmarkStart w:id="50" w:name="_Toc15058846"/>
      <w:bookmarkStart w:id="51" w:name="_Toc20434"/>
      <w:bookmarkStart w:id="52" w:name="_Toc40723417"/>
      <w:bookmarkStart w:id="53" w:name="_Toc18134"/>
      <w:bookmarkStart w:id="54" w:name="_Toc20617"/>
      <w:bookmarkStart w:id="55" w:name="_Toc30052"/>
      <w:bookmarkStart w:id="56" w:name="_Hlt125259581"/>
      <w:bookmarkStart w:id="57" w:name="_Hlt125258977"/>
      <w:bookmarkStart w:id="58" w:name="_Toc19263"/>
      <w:bookmarkStart w:id="59" w:name="_Toc25792"/>
      <w:bookmarkStart w:id="60" w:name="_Toc105809090"/>
      <w:bookmarkStart w:id="61" w:name="_Hlt125258978"/>
      <w:r>
        <w:rPr>
          <w:rFonts w:hint="eastAsia" w:ascii="宋体" w:hAnsi="宋体" w:eastAsia="宋体" w:cs="宋体"/>
          <w:color w:val="auto"/>
          <w:sz w:val="21"/>
          <w:szCs w:val="21"/>
          <w:highlight w:val="none"/>
        </w:rPr>
        <w:t>1. 总则</w:t>
      </w:r>
      <w:bookmarkEnd w:id="47"/>
      <w:bookmarkEnd w:id="48"/>
      <w:bookmarkEnd w:id="49"/>
      <w:bookmarkEnd w:id="50"/>
      <w:bookmarkEnd w:id="51"/>
      <w:bookmarkEnd w:id="52"/>
      <w:bookmarkEnd w:id="53"/>
      <w:bookmarkEnd w:id="54"/>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62" w:name="_Toc296602421"/>
      <w:bookmarkStart w:id="63" w:name="_Toc247085690"/>
      <w:bookmarkStart w:id="64" w:name="_Toc506107270"/>
      <w:bookmarkStart w:id="65" w:name="_Toc246996176"/>
      <w:bookmarkStart w:id="66" w:name="_Toc8494"/>
      <w:bookmarkStart w:id="67" w:name="_Toc16531"/>
      <w:bookmarkStart w:id="68" w:name="_Toc152045530"/>
      <w:bookmarkStart w:id="69" w:name="_Toc246996919"/>
      <w:bookmarkStart w:id="70" w:name="_Toc152042306"/>
      <w:bookmarkStart w:id="71" w:name="_Toc8478"/>
      <w:bookmarkStart w:id="72" w:name="_Toc15230"/>
      <w:bookmarkStart w:id="73" w:name="_Toc179632547"/>
      <w:bookmarkStart w:id="74" w:name="_Toc324404816"/>
      <w:bookmarkStart w:id="75" w:name="_Toc15058847"/>
      <w:bookmarkStart w:id="76" w:name="_Toc144974498"/>
      <w:r>
        <w:rPr>
          <w:rFonts w:hint="eastAsia" w:ascii="宋体" w:hAnsi="宋体" w:eastAsia="宋体" w:cs="宋体"/>
          <w:color w:val="auto"/>
          <w:sz w:val="21"/>
          <w:szCs w:val="21"/>
          <w:highlight w:val="none"/>
        </w:rPr>
        <w:t>1.1 项目概况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1.1.1根据《中华人民共和国</w:t>
      </w:r>
      <w:r>
        <w:rPr>
          <w:rFonts w:hint="eastAsia" w:ascii="宋体" w:hAnsi="宋体" w:eastAsia="宋体" w:cs="宋体"/>
          <w:color w:val="auto"/>
          <w:szCs w:val="21"/>
          <w:highlight w:val="none"/>
          <w:lang w:val="en-US" w:eastAsia="zh-CN"/>
        </w:rPr>
        <w:t>政府采购法</w:t>
      </w:r>
      <w:r>
        <w:rPr>
          <w:rFonts w:hint="eastAsia" w:ascii="宋体" w:hAnsi="宋体" w:eastAsia="宋体" w:cs="宋体"/>
          <w:color w:val="auto"/>
          <w:szCs w:val="21"/>
          <w:highlight w:val="none"/>
        </w:rPr>
        <w:t>》《中华人民共和国</w:t>
      </w:r>
      <w:r>
        <w:rPr>
          <w:rFonts w:hint="eastAsia" w:ascii="宋体" w:hAnsi="宋体" w:eastAsia="宋体" w:cs="宋体"/>
          <w:color w:val="auto"/>
          <w:szCs w:val="21"/>
          <w:highlight w:val="none"/>
          <w:lang w:val="en-US" w:eastAsia="zh-CN"/>
        </w:rPr>
        <w:t>政府采购法</w:t>
      </w:r>
      <w:r>
        <w:rPr>
          <w:rFonts w:hint="eastAsia" w:ascii="宋体" w:hAnsi="宋体" w:eastAsia="宋体" w:cs="宋体"/>
          <w:color w:val="auto"/>
          <w:szCs w:val="21"/>
          <w:highlight w:val="none"/>
        </w:rPr>
        <w:t>实施条例》等有关法律、法规和规章的规定，</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已具备</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条件，现对本项目进行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1.1.2 </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1.1.3 </w:t>
      </w:r>
      <w:r>
        <w:rPr>
          <w:rFonts w:hint="eastAsia" w:ascii="宋体" w:hAnsi="宋体" w:eastAsia="宋体" w:cs="宋体"/>
          <w:color w:val="auto"/>
          <w:szCs w:val="21"/>
          <w:highlight w:val="none"/>
          <w:lang w:eastAsia="zh-CN"/>
        </w:rPr>
        <w:t>本项目采购代理机构</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1.1.4 </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名称：见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1.1.5 </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建设地点：见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77" w:name="_Toc26460"/>
      <w:bookmarkStart w:id="78" w:name="_Toc324404817"/>
      <w:bookmarkStart w:id="79" w:name="_Toc152042307"/>
      <w:bookmarkStart w:id="80" w:name="_Toc179632548"/>
      <w:bookmarkStart w:id="81" w:name="_Toc27184"/>
      <w:bookmarkStart w:id="82" w:name="_Toc247085691"/>
      <w:bookmarkStart w:id="83" w:name="_Toc246996920"/>
      <w:bookmarkStart w:id="84" w:name="_Toc152045531"/>
      <w:bookmarkStart w:id="85" w:name="_Toc14294"/>
      <w:bookmarkStart w:id="86" w:name="_Toc296602422"/>
      <w:bookmarkStart w:id="87" w:name="_Toc246996177"/>
      <w:bookmarkStart w:id="88" w:name="_Toc20503"/>
      <w:bookmarkStart w:id="89" w:name="_Toc506107271"/>
      <w:bookmarkStart w:id="90" w:name="_Toc144974499"/>
      <w:bookmarkStart w:id="91" w:name="_Toc15058848"/>
      <w:r>
        <w:rPr>
          <w:rFonts w:hint="eastAsia" w:ascii="宋体" w:hAnsi="宋体" w:eastAsia="宋体" w:cs="宋体"/>
          <w:color w:val="auto"/>
          <w:sz w:val="21"/>
          <w:szCs w:val="21"/>
          <w:highlight w:val="none"/>
        </w:rPr>
        <w:t>1.2 资金来源和落实情况</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1.2.1 </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的资金来源及出资比例：见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1.2.2 </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的资金落实情况：见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92" w:name="_Toc179632549"/>
      <w:bookmarkStart w:id="93" w:name="_Toc152042308"/>
      <w:bookmarkStart w:id="94" w:name="_Toc16280"/>
      <w:bookmarkStart w:id="95" w:name="_Toc3012"/>
      <w:bookmarkStart w:id="96" w:name="_Toc144974500"/>
      <w:bookmarkStart w:id="97" w:name="_Toc152045532"/>
      <w:bookmarkStart w:id="98" w:name="_Toc324404818"/>
      <w:bookmarkStart w:id="99" w:name="_Toc24235"/>
      <w:bookmarkStart w:id="100" w:name="_Toc246996178"/>
      <w:bookmarkStart w:id="101" w:name="_Toc27416"/>
      <w:bookmarkStart w:id="102" w:name="_Toc247085692"/>
      <w:bookmarkStart w:id="103" w:name="_Toc506107272"/>
      <w:bookmarkStart w:id="104" w:name="_Toc296602423"/>
      <w:bookmarkStart w:id="105" w:name="_Toc246996921"/>
      <w:bookmarkStart w:id="106" w:name="_Toc15058849"/>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范围、计划工期、质量要求</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本次</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范围：见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1.3.2 </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的计划工期：见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1.3.3 </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的质量要求：见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107" w:name="_Toc247085693"/>
      <w:bookmarkStart w:id="108" w:name="_Toc324404819"/>
      <w:bookmarkStart w:id="109" w:name="_Toc8611"/>
      <w:bookmarkStart w:id="110" w:name="_Toc296602424"/>
      <w:bookmarkStart w:id="111" w:name="_Toc14088"/>
      <w:bookmarkStart w:id="112" w:name="_Toc152042310"/>
      <w:bookmarkStart w:id="113" w:name="_Toc506107273"/>
      <w:bookmarkStart w:id="114" w:name="_Toc246996922"/>
      <w:bookmarkStart w:id="115" w:name="_Toc144974502"/>
      <w:bookmarkStart w:id="116" w:name="_Toc1587"/>
      <w:bookmarkStart w:id="117" w:name="_Toc15058850"/>
      <w:bookmarkStart w:id="118" w:name="_Toc246996179"/>
      <w:bookmarkStart w:id="119" w:name="_Toc179632551"/>
      <w:bookmarkStart w:id="120" w:name="_Toc30883"/>
      <w:bookmarkStart w:id="121" w:name="_Toc152045534"/>
      <w:r>
        <w:rPr>
          <w:rFonts w:hint="eastAsia" w:ascii="宋体" w:hAnsi="宋体" w:eastAsia="宋体" w:cs="宋体"/>
          <w:color w:val="auto"/>
          <w:sz w:val="21"/>
          <w:szCs w:val="21"/>
          <w:highlight w:val="none"/>
        </w:rPr>
        <w:t xml:space="preserve">1.4 </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资格要求</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1.4.1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应具备承担本项目施工的资质条件、能力和信誉。</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（1）资质条件：见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（2）业绩要求：见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）其他要求：见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1.4.2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不得存在下列情形之一：</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人不具有独立法人资格的附属机构（单位）；</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 xml:space="preserve">前期准备提供设计或咨询服务的； </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的监理人；</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 xml:space="preserve">的代建人； </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 xml:space="preserve">代理服务的； </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的监理人或代建人或</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同为一个法定代表人的；</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的监理人或代建人或</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相互控股或参股的；</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的监理人或代建人或</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相互任职或工作的；</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（9）被责令停业的； </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（10）被暂停或取消投标资格的； </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（11）财产被接管或冻结的；</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单位负责人为同一人或者存在控股、管理关系的不同单位，不得同时参加</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122" w:name="_Toc246996180"/>
      <w:bookmarkStart w:id="123" w:name="_Toc2599"/>
      <w:bookmarkStart w:id="124" w:name="_Toc246996923"/>
      <w:bookmarkStart w:id="125" w:name="_Toc3825"/>
      <w:bookmarkStart w:id="126" w:name="_Toc247085694"/>
      <w:bookmarkStart w:id="127" w:name="_Toc296602425"/>
      <w:bookmarkStart w:id="128" w:name="_Toc144974503"/>
      <w:bookmarkStart w:id="129" w:name="_Toc2318"/>
      <w:bookmarkStart w:id="130" w:name="_Toc14719"/>
      <w:bookmarkStart w:id="131" w:name="_Toc15058851"/>
      <w:bookmarkStart w:id="132" w:name="_Toc152042311"/>
      <w:bookmarkStart w:id="133" w:name="_Toc152045535"/>
      <w:bookmarkStart w:id="134" w:name="_Toc506107274"/>
      <w:bookmarkStart w:id="135" w:name="_Toc324404820"/>
      <w:bookmarkStart w:id="136" w:name="_Toc179632552"/>
      <w:r>
        <w:rPr>
          <w:rFonts w:hint="eastAsia" w:ascii="宋体" w:hAnsi="宋体" w:eastAsia="宋体" w:cs="宋体"/>
          <w:color w:val="auto"/>
          <w:sz w:val="21"/>
          <w:szCs w:val="21"/>
          <w:highlight w:val="none"/>
        </w:rPr>
        <w:t>1.5 费用承担</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准备和参加</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活动发生的费用自理。</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137" w:name="_Toc246996181"/>
      <w:bookmarkStart w:id="138" w:name="_Toc15058852"/>
      <w:bookmarkStart w:id="139" w:name="_Toc324404821"/>
      <w:bookmarkStart w:id="140" w:name="_Toc152042312"/>
      <w:bookmarkStart w:id="141" w:name="_Toc23590"/>
      <w:bookmarkStart w:id="142" w:name="_Toc152045536"/>
      <w:bookmarkStart w:id="143" w:name="_Toc7418"/>
      <w:bookmarkStart w:id="144" w:name="_Toc246996924"/>
      <w:bookmarkStart w:id="145" w:name="_Toc247085695"/>
      <w:bookmarkStart w:id="146" w:name="_Toc26103"/>
      <w:bookmarkStart w:id="147" w:name="_Toc179632553"/>
      <w:bookmarkStart w:id="148" w:name="_Toc144974504"/>
      <w:bookmarkStart w:id="149" w:name="_Toc3206"/>
      <w:bookmarkStart w:id="150" w:name="_Toc296602426"/>
      <w:bookmarkStart w:id="151" w:name="_Toc506107275"/>
      <w:r>
        <w:rPr>
          <w:rFonts w:hint="eastAsia" w:ascii="宋体" w:hAnsi="宋体" w:eastAsia="宋体" w:cs="宋体"/>
          <w:color w:val="auto"/>
          <w:sz w:val="21"/>
          <w:szCs w:val="21"/>
          <w:highlight w:val="none"/>
        </w:rPr>
        <w:t>1.6 保密</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 xml:space="preserve">活动的各方应对谈判文件和响应文件中的商业和技术等秘密保密，违者应对由此造成的后果承担法律责任。 </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152" w:name="_Toc144974505"/>
      <w:bookmarkStart w:id="153" w:name="_Toc15058853"/>
      <w:bookmarkStart w:id="154" w:name="_Toc152045537"/>
      <w:bookmarkStart w:id="155" w:name="_Toc247085696"/>
      <w:bookmarkStart w:id="156" w:name="_Toc8051"/>
      <w:bookmarkStart w:id="157" w:name="_Toc5941"/>
      <w:bookmarkStart w:id="158" w:name="_Toc296602427"/>
      <w:bookmarkStart w:id="159" w:name="_Toc67"/>
      <w:bookmarkStart w:id="160" w:name="_Toc246996182"/>
      <w:bookmarkStart w:id="161" w:name="_Toc13543"/>
      <w:bookmarkStart w:id="162" w:name="_Toc324404822"/>
      <w:bookmarkStart w:id="163" w:name="_Toc152042313"/>
      <w:bookmarkStart w:id="164" w:name="_Toc506107276"/>
      <w:bookmarkStart w:id="165" w:name="_Toc246996925"/>
      <w:bookmarkStart w:id="166" w:name="_Toc179632554"/>
      <w:r>
        <w:rPr>
          <w:rFonts w:hint="eastAsia" w:ascii="宋体" w:hAnsi="宋体" w:eastAsia="宋体" w:cs="宋体"/>
          <w:color w:val="auto"/>
          <w:sz w:val="21"/>
          <w:szCs w:val="21"/>
          <w:highlight w:val="none"/>
        </w:rPr>
        <w:t>1.7 语言</w:t>
      </w:r>
      <w:bookmarkEnd w:id="152"/>
      <w:r>
        <w:rPr>
          <w:rFonts w:hint="eastAsia" w:ascii="宋体" w:hAnsi="宋体" w:eastAsia="宋体" w:cs="宋体"/>
          <w:color w:val="auto"/>
          <w:sz w:val="21"/>
          <w:szCs w:val="21"/>
          <w:highlight w:val="none"/>
        </w:rPr>
        <w:t>文字</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bookmarkStart w:id="167" w:name="_Toc179632555"/>
      <w:bookmarkStart w:id="168" w:name="_Toc246996926"/>
      <w:bookmarkStart w:id="169" w:name="_Toc152045538"/>
      <w:bookmarkStart w:id="170" w:name="_Toc152042314"/>
      <w:bookmarkStart w:id="171" w:name="_Toc247085697"/>
      <w:bookmarkStart w:id="172" w:name="_Toc246996183"/>
      <w:bookmarkStart w:id="173" w:name="_Toc144974506"/>
      <w:r>
        <w:rPr>
          <w:rFonts w:hint="eastAsia" w:ascii="宋体" w:hAnsi="宋体" w:eastAsia="宋体" w:cs="宋体"/>
          <w:color w:val="auto"/>
          <w:szCs w:val="21"/>
          <w:highlight w:val="none"/>
        </w:rPr>
        <w:t>招标响应文件使用的语言文字为中文。专用术语使用外文的，应附有中文注释。</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174" w:name="_Toc506107277"/>
      <w:bookmarkStart w:id="175" w:name="_Toc17303"/>
      <w:bookmarkStart w:id="176" w:name="_Toc556"/>
      <w:bookmarkStart w:id="177" w:name="_Toc15058854"/>
      <w:bookmarkStart w:id="178" w:name="_Toc324404823"/>
      <w:bookmarkStart w:id="179" w:name="_Toc757"/>
      <w:bookmarkStart w:id="180" w:name="_Toc606"/>
      <w:bookmarkStart w:id="181" w:name="_Toc296602428"/>
      <w:r>
        <w:rPr>
          <w:rFonts w:hint="eastAsia" w:ascii="宋体" w:hAnsi="宋体" w:eastAsia="宋体" w:cs="宋体"/>
          <w:color w:val="auto"/>
          <w:sz w:val="21"/>
          <w:szCs w:val="21"/>
          <w:highlight w:val="none"/>
        </w:rPr>
        <w:t>1.8 计量单位</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182" w:name="_Toc24450"/>
      <w:bookmarkStart w:id="183" w:name="_Toc152045539"/>
      <w:bookmarkStart w:id="184" w:name="_Toc15702"/>
      <w:bookmarkStart w:id="185" w:name="_Toc247527563"/>
      <w:bookmarkStart w:id="186" w:name="_Toc506107278"/>
      <w:bookmarkStart w:id="187" w:name="_Toc144974507"/>
      <w:bookmarkStart w:id="188" w:name="_Toc247513962"/>
      <w:bookmarkStart w:id="189" w:name="_Toc324404824"/>
      <w:bookmarkStart w:id="190" w:name="_Toc296602429"/>
      <w:bookmarkStart w:id="191" w:name="_Toc247592876"/>
      <w:bookmarkStart w:id="192" w:name="_Toc673"/>
      <w:bookmarkStart w:id="193" w:name="_Toc7525"/>
      <w:bookmarkStart w:id="194" w:name="_Toc15058855"/>
      <w:bookmarkStart w:id="195" w:name="_Toc152042315"/>
      <w:r>
        <w:rPr>
          <w:rFonts w:hint="eastAsia" w:ascii="宋体" w:hAnsi="宋体" w:eastAsia="宋体" w:cs="宋体"/>
          <w:color w:val="auto"/>
          <w:sz w:val="21"/>
          <w:szCs w:val="21"/>
          <w:highlight w:val="none"/>
        </w:rPr>
        <w:t>1.9 踏勘现场</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1.9.1 </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前附表规定组织踏勘现场的，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前附表规定的时间、地点组织</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 xml:space="preserve">踏勘项目现场。 </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1.9.2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踏勘现场发生的费用自理。</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 除</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的原因外，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自行负责在踏勘现场中所发生的人员伤亡和财产损失。</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1.9.4 </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人在踏勘现场中介绍的工程场地和相关的周边环境情况，供</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在编制响应文件时参考，</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人不对</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据此作出的判断和决策负责。</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196" w:name="_Toc144974508"/>
      <w:bookmarkStart w:id="197" w:name="_Toc324404825"/>
      <w:bookmarkStart w:id="198" w:name="_Toc15058856"/>
      <w:bookmarkStart w:id="199" w:name="_Toc247513963"/>
      <w:bookmarkStart w:id="200" w:name="_Toc11702"/>
      <w:bookmarkStart w:id="201" w:name="_Toc296602430"/>
      <w:bookmarkStart w:id="202" w:name="_Toc247527564"/>
      <w:bookmarkStart w:id="203" w:name="_Toc506107279"/>
      <w:bookmarkStart w:id="204" w:name="_Toc152042316"/>
      <w:bookmarkStart w:id="205" w:name="_Toc247592877"/>
      <w:bookmarkStart w:id="206" w:name="_Toc152045540"/>
      <w:bookmarkStart w:id="207" w:name="_Toc27449"/>
      <w:bookmarkStart w:id="208" w:name="_Toc15510"/>
      <w:bookmarkStart w:id="209" w:name="_Toc21884"/>
      <w:r>
        <w:rPr>
          <w:rFonts w:hint="eastAsia" w:ascii="宋体" w:hAnsi="宋体" w:eastAsia="宋体" w:cs="宋体"/>
          <w:color w:val="auto"/>
          <w:sz w:val="21"/>
          <w:szCs w:val="21"/>
          <w:highlight w:val="none"/>
        </w:rPr>
        <w:t xml:space="preserve">1.10 </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预备会</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前附表规定召开</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预备会的，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前附表规定的时间和地点召开</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预备会，澄清</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提出的问题。</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应在</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前附表规定的时间前，将提出的问题送达</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，以便</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澄清。</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人在</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前附表规定的时间，将对</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所提的问题进行澄清。该澄清内容为谈判文件的组成部分。</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210" w:name="_Toc29724"/>
      <w:bookmarkStart w:id="211" w:name="_Toc18354"/>
      <w:bookmarkStart w:id="212" w:name="_Toc4685"/>
      <w:bookmarkStart w:id="213" w:name="_Toc296602431"/>
      <w:bookmarkStart w:id="214" w:name="_Toc506107280"/>
      <w:bookmarkStart w:id="215" w:name="_Toc15058857"/>
      <w:bookmarkStart w:id="216" w:name="_Toc29009"/>
      <w:bookmarkStart w:id="217" w:name="_Toc324404826"/>
      <w:r>
        <w:rPr>
          <w:rFonts w:hint="eastAsia" w:ascii="宋体" w:hAnsi="宋体" w:eastAsia="宋体" w:cs="宋体"/>
          <w:color w:val="auto"/>
          <w:sz w:val="21"/>
          <w:szCs w:val="21"/>
          <w:highlight w:val="none"/>
        </w:rPr>
        <w:t>1.11 偏离</w:t>
      </w:r>
      <w:bookmarkEnd w:id="210"/>
      <w:bookmarkEnd w:id="211"/>
      <w:bookmarkEnd w:id="212"/>
      <w:bookmarkEnd w:id="213"/>
      <w:bookmarkEnd w:id="214"/>
      <w:bookmarkEnd w:id="215"/>
      <w:bookmarkEnd w:id="216"/>
      <w:bookmarkEnd w:id="217"/>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前附表允许响应文件偏离谈判文件某些要求的，偏离应当符合谈判文件规定的偏离范围和幅度</w:t>
      </w:r>
      <w:bookmarkStart w:id="218" w:name="_Toc506107281"/>
      <w:bookmarkStart w:id="219" w:name="_Toc246996187"/>
      <w:bookmarkStart w:id="220" w:name="_Toc152045542"/>
      <w:bookmarkStart w:id="221" w:name="_Toc144974510"/>
      <w:bookmarkStart w:id="222" w:name="_Toc152042318"/>
      <w:bookmarkStart w:id="223" w:name="_Toc324404827"/>
      <w:bookmarkStart w:id="224" w:name="_Toc14424"/>
      <w:bookmarkStart w:id="225" w:name="_Toc14376"/>
      <w:bookmarkStart w:id="226" w:name="_Toc246996930"/>
      <w:bookmarkStart w:id="227" w:name="_Toc15058858"/>
      <w:bookmarkStart w:id="228" w:name="_Toc415"/>
      <w:bookmarkStart w:id="229" w:name="_Toc247085701"/>
      <w:bookmarkStart w:id="230" w:name="_Toc9652"/>
      <w:bookmarkStart w:id="231" w:name="_Toc179632560"/>
      <w:bookmarkStart w:id="232" w:name="_Toc15742"/>
      <w:bookmarkStart w:id="233" w:name="_Toc40723418"/>
      <w:bookmarkStart w:id="234" w:name="_Toc21435"/>
      <w:r>
        <w:rPr>
          <w:rFonts w:hint="eastAsia" w:ascii="宋体" w:hAnsi="宋体" w:eastAsia="宋体" w:cs="宋体"/>
          <w:color w:val="auto"/>
          <w:szCs w:val="21"/>
          <w:highlight w:val="none"/>
          <w:lang w:eastAsia="zh-CN"/>
        </w:rPr>
        <w:t>。</w:t>
      </w:r>
    </w:p>
    <w:p>
      <w:pPr>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宋体" w:hAnsi="宋体" w:eastAsia="宋体" w:cs="宋体"/>
          <w:b/>
          <w:bCs/>
          <w:color w:val="auto"/>
          <w:sz w:val="21"/>
          <w:szCs w:val="21"/>
          <w:highlight w:val="none"/>
        </w:rPr>
        <w:t>谈判文件</w:t>
      </w:r>
      <w:bookmarkEnd w:id="233"/>
      <w:bookmarkEnd w:id="234"/>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235" w:name="_Toc152042319"/>
      <w:bookmarkStart w:id="236" w:name="_Toc152045543"/>
      <w:bookmarkStart w:id="237" w:name="_Toc16654"/>
      <w:bookmarkStart w:id="238" w:name="_Toc246996188"/>
      <w:bookmarkStart w:id="239" w:name="_Toc144974511"/>
      <w:bookmarkStart w:id="240" w:name="_Toc15664"/>
      <w:bookmarkStart w:id="241" w:name="_Toc7096"/>
      <w:bookmarkStart w:id="242" w:name="_Toc506107282"/>
      <w:bookmarkStart w:id="243" w:name="_Toc15058859"/>
      <w:bookmarkStart w:id="244" w:name="_Toc3173"/>
      <w:bookmarkStart w:id="245" w:name="_Toc296602433"/>
      <w:bookmarkStart w:id="246" w:name="_Toc179632561"/>
      <w:bookmarkStart w:id="247" w:name="_Toc246996931"/>
      <w:bookmarkStart w:id="248" w:name="_Toc247085702"/>
      <w:bookmarkStart w:id="249" w:name="_Toc324404828"/>
      <w:r>
        <w:rPr>
          <w:rFonts w:hint="eastAsia" w:ascii="宋体" w:hAnsi="宋体" w:eastAsia="宋体" w:cs="宋体"/>
          <w:color w:val="auto"/>
          <w:sz w:val="21"/>
          <w:szCs w:val="21"/>
          <w:highlight w:val="none"/>
        </w:rPr>
        <w:t>2.1 谈判文件的组成</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本谈判文件包括：</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（1）谈判公告；</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（3）资格审查办法</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办法；</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采购内容及服务要求</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合同条款及格式；</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）响应文件格式；</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前附表规定的其他材料。</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根据本章第1.10款、第2.2款和第2.3款对谈判文件所作的澄清、修改，构成谈判文件的组成部分。</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250" w:name="_Toc15058860"/>
      <w:bookmarkStart w:id="251" w:name="_Toc144974512"/>
      <w:bookmarkStart w:id="252" w:name="_Toc246996189"/>
      <w:bookmarkStart w:id="253" w:name="_Toc152045544"/>
      <w:bookmarkStart w:id="254" w:name="_Toc152042320"/>
      <w:bookmarkStart w:id="255" w:name="_Toc16796"/>
      <w:bookmarkStart w:id="256" w:name="_Toc13744"/>
      <w:bookmarkStart w:id="257" w:name="_Toc324404829"/>
      <w:bookmarkStart w:id="258" w:name="_Toc296602434"/>
      <w:bookmarkStart w:id="259" w:name="_Toc179632562"/>
      <w:bookmarkStart w:id="260" w:name="_Toc29891"/>
      <w:bookmarkStart w:id="261" w:name="_Toc246996932"/>
      <w:bookmarkStart w:id="262" w:name="_Toc30569"/>
      <w:bookmarkStart w:id="263" w:name="_Toc247085703"/>
      <w:bookmarkStart w:id="264" w:name="_Toc506107283"/>
      <w:r>
        <w:rPr>
          <w:rFonts w:hint="eastAsia" w:ascii="宋体" w:hAnsi="宋体" w:eastAsia="宋体" w:cs="宋体"/>
          <w:color w:val="auto"/>
          <w:sz w:val="21"/>
          <w:szCs w:val="21"/>
          <w:highlight w:val="none"/>
        </w:rPr>
        <w:t>2.2 谈判文件的澄清</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hint="eastAsia" w:ascii="宋体" w:hAnsi="宋体" w:eastAsia="宋体" w:cs="宋体"/>
          <w:color w:val="auto"/>
          <w:sz w:val="21"/>
          <w:szCs w:val="21"/>
          <w:highlight w:val="none"/>
        </w:rPr>
        <w:t xml:space="preserve"> </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2.2.1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应仔细阅读和检查谈判文件的全部内容。如有疑问，应在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须知前附表规定的时间前以网上留言或书面形式（包括信函、电报、传真等可以有形地表现所载内容的形式，下同），要求</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对谈判文件予以澄清。</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谈判文件的澄清将在</w:t>
      </w:r>
      <w:r>
        <w:rPr>
          <w:rFonts w:hint="eastAsia" w:ascii="宋体" w:hAnsi="宋体" w:cs="宋体"/>
          <w:color w:val="auto"/>
          <w:szCs w:val="21"/>
          <w:highlight w:val="none"/>
          <w:lang w:val="en-US" w:eastAsia="zh-CN"/>
        </w:rPr>
        <w:t>滁州市妇幼保健计划生育服务中心网站（http://www.czsfjzx.com/）</w:t>
      </w:r>
      <w:r>
        <w:rPr>
          <w:rFonts w:hint="eastAsia" w:ascii="宋体" w:hAnsi="宋体" w:eastAsia="宋体" w:cs="宋体"/>
          <w:color w:val="auto"/>
          <w:szCs w:val="21"/>
          <w:highlight w:val="none"/>
        </w:rPr>
        <w:t>发布，但不指明澄清问题的来源。如果澄清发出的时间距</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须知前附表规定的</w:t>
      </w:r>
      <w:r>
        <w:rPr>
          <w:rFonts w:hint="eastAsia" w:ascii="宋体" w:hAnsi="宋体" w:eastAsia="宋体" w:cs="宋体"/>
          <w:color w:val="auto"/>
          <w:szCs w:val="21"/>
          <w:highlight w:val="none"/>
          <w:lang w:val="en-US" w:eastAsia="zh-CN"/>
        </w:rPr>
        <w:t>首次响应文件提交</w:t>
      </w:r>
      <w:r>
        <w:rPr>
          <w:rFonts w:hint="eastAsia" w:ascii="宋体" w:hAnsi="宋体" w:eastAsia="宋体" w:cs="宋体"/>
          <w:color w:val="auto"/>
          <w:szCs w:val="21"/>
          <w:highlight w:val="none"/>
        </w:rPr>
        <w:t>截止时间不足</w:t>
      </w:r>
      <w:r>
        <w:rPr>
          <w:rFonts w:hint="eastAsia" w:ascii="宋体" w:hAnsi="宋体" w:eastAsia="宋体" w:cs="宋体"/>
          <w:color w:val="auto"/>
          <w:szCs w:val="21"/>
          <w:highlight w:val="none"/>
          <w:lang w:val="en-US" w:eastAsia="zh-CN"/>
        </w:rPr>
        <w:t>3个工作日</w:t>
      </w:r>
      <w:r>
        <w:rPr>
          <w:rFonts w:hint="eastAsia" w:ascii="宋体" w:hAnsi="宋体" w:eastAsia="宋体" w:cs="宋体"/>
          <w:color w:val="auto"/>
          <w:szCs w:val="21"/>
          <w:highlight w:val="none"/>
        </w:rPr>
        <w:t xml:space="preserve">，并且澄清内容影响响应文件编制的，将相应延长投标截止时间。 </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265" w:name="_Toc179632563"/>
      <w:bookmarkStart w:id="266" w:name="_Toc152042321"/>
      <w:bookmarkStart w:id="267" w:name="_Toc10978"/>
      <w:bookmarkStart w:id="268" w:name="_Toc32549"/>
      <w:bookmarkStart w:id="269" w:name="_Toc15058861"/>
      <w:bookmarkStart w:id="270" w:name="_Toc17193"/>
      <w:bookmarkStart w:id="271" w:name="_Toc246996190"/>
      <w:bookmarkStart w:id="272" w:name="_Toc506107284"/>
      <w:bookmarkStart w:id="273" w:name="_Toc246996933"/>
      <w:bookmarkStart w:id="274" w:name="_Toc296602435"/>
      <w:bookmarkStart w:id="275" w:name="_Toc324404830"/>
      <w:bookmarkStart w:id="276" w:name="_Toc247085704"/>
      <w:bookmarkStart w:id="277" w:name="_Toc29960"/>
      <w:bookmarkStart w:id="278" w:name="_Toc152045545"/>
      <w:bookmarkStart w:id="279" w:name="_Toc144974513"/>
      <w:r>
        <w:rPr>
          <w:rFonts w:hint="eastAsia" w:ascii="宋体" w:hAnsi="宋体" w:eastAsia="宋体" w:cs="宋体"/>
          <w:color w:val="auto"/>
          <w:sz w:val="21"/>
          <w:szCs w:val="21"/>
          <w:highlight w:val="none"/>
        </w:rPr>
        <w:t>2.3 谈判文件的修改</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9"/>
        <w:widowControl w:val="0"/>
        <w:kinsoku/>
        <w:wordWrap/>
        <w:overflowPunct/>
        <w:topLinePunct w:val="0"/>
        <w:autoSpaceDE/>
        <w:autoSpaceDN/>
        <w:bidi w:val="0"/>
        <w:spacing w:before="0" w:beforeLines="0" w:after="0" w:afterLines="0"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280" w:name="_Toc5659"/>
      <w:bookmarkStart w:id="281" w:name="_Toc20900"/>
      <w:bookmarkStart w:id="282" w:name="_Toc324404831"/>
      <w:bookmarkStart w:id="283" w:name="_Toc15058862"/>
      <w:bookmarkStart w:id="284" w:name="_Toc23545"/>
      <w:bookmarkStart w:id="285" w:name="_Toc22584"/>
      <w:r>
        <w:rPr>
          <w:rFonts w:hint="eastAsia" w:ascii="宋体" w:hAnsi="宋体" w:eastAsia="宋体" w:cs="宋体"/>
          <w:b w:val="0"/>
          <w:bCs w:val="0"/>
          <w:color w:val="auto"/>
          <w:kern w:val="2"/>
          <w:sz w:val="21"/>
          <w:szCs w:val="21"/>
          <w:highlight w:val="none"/>
          <w:lang w:val="en-US" w:eastAsia="zh-CN" w:bidi="ar-SA"/>
        </w:rPr>
        <w:t>采购人可以修改谈判文件，并以澄清的方式在</w:t>
      </w:r>
      <w:r>
        <w:rPr>
          <w:rFonts w:hint="eastAsia" w:ascii="宋体" w:hAnsi="宋体" w:cs="宋体"/>
          <w:b w:val="0"/>
          <w:bCs w:val="0"/>
          <w:color w:val="auto"/>
          <w:kern w:val="2"/>
          <w:sz w:val="21"/>
          <w:szCs w:val="21"/>
          <w:highlight w:val="none"/>
          <w:lang w:val="en-US" w:eastAsia="zh-CN" w:bidi="ar-SA"/>
        </w:rPr>
        <w:t>滁州市妇幼保健计划生育服务中心网站（http://www.czsfjzx.com/）</w:t>
      </w:r>
      <w:r>
        <w:rPr>
          <w:rFonts w:hint="eastAsia" w:ascii="宋体" w:hAnsi="宋体" w:eastAsia="宋体" w:cs="宋体"/>
          <w:b w:val="0"/>
          <w:bCs w:val="0"/>
          <w:color w:val="auto"/>
          <w:kern w:val="2"/>
          <w:sz w:val="21"/>
          <w:szCs w:val="21"/>
          <w:highlight w:val="none"/>
          <w:lang w:val="en-US" w:eastAsia="zh-CN" w:bidi="ar-SA"/>
        </w:rPr>
        <w:t>发布，如果修改谈判文件的时间距供应商须知前附表规定的首次响应文件提交截止时间不足3个工作日，并且修改内容影响响应文件编制的，将相应延长提交响应文件截止时间。</w:t>
      </w:r>
    </w:p>
    <w:bookmarkEnd w:id="280"/>
    <w:bookmarkEnd w:id="281"/>
    <w:bookmarkEnd w:id="282"/>
    <w:bookmarkEnd w:id="283"/>
    <w:bookmarkEnd w:id="284"/>
    <w:bookmarkEnd w:id="285"/>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最高投标限价</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2.4.1</w:t>
      </w:r>
      <w:r>
        <w:rPr>
          <w:rFonts w:hint="eastAsia" w:ascii="宋体" w:hAnsi="宋体" w:eastAsia="宋体" w:cs="宋体"/>
          <w:color w:val="auto"/>
          <w:szCs w:val="21"/>
          <w:highlight w:val="none"/>
        </w:rPr>
        <w:t>最高限价的作用和说明</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报价不得超过最高限价，最高限价的发布时间及方式在</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前附表中载明。</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对最高限价有异议的，可在</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前附表规定的时间内向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提出异议，未在规定时间内提出异议的或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提出异议经</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复核后的最高限价，即为最高限价。</w:t>
      </w:r>
      <w:bookmarkStart w:id="286" w:name="_Toc246996191"/>
      <w:bookmarkStart w:id="287" w:name="_Toc179632564"/>
      <w:bookmarkStart w:id="288" w:name="_Toc15058863"/>
      <w:bookmarkStart w:id="289" w:name="_Toc247085705"/>
      <w:bookmarkStart w:id="290" w:name="_Toc152042322"/>
      <w:bookmarkStart w:id="291" w:name="_Toc324404832"/>
      <w:bookmarkStart w:id="292" w:name="_Toc18016"/>
      <w:bookmarkStart w:id="293" w:name="_Toc18603"/>
      <w:bookmarkStart w:id="294" w:name="_Toc152045546"/>
      <w:bookmarkStart w:id="295" w:name="_Toc2811"/>
      <w:bookmarkStart w:id="296" w:name="_Toc144974514"/>
      <w:bookmarkStart w:id="297" w:name="_Toc10150"/>
      <w:bookmarkStart w:id="298" w:name="_Toc506107285"/>
      <w:bookmarkStart w:id="299" w:name="_Toc246996934"/>
      <w:bookmarkStart w:id="300" w:name="_Toc536"/>
      <w:bookmarkStart w:id="301" w:name="_Toc12517"/>
      <w:bookmarkStart w:id="302" w:name="_Toc40723419"/>
    </w:p>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ascii="宋体" w:hAnsi="宋体" w:eastAsia="宋体" w:cs="宋体"/>
          <w:color w:val="auto"/>
          <w:sz w:val="21"/>
          <w:szCs w:val="21"/>
          <w:highlight w:val="none"/>
        </w:rPr>
        <w:t>响应文件</w:t>
      </w:r>
      <w:bookmarkEnd w:id="301"/>
      <w:bookmarkEnd w:id="302"/>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303" w:name="_Toc152042323"/>
      <w:bookmarkStart w:id="304" w:name="_Toc246996192"/>
      <w:bookmarkStart w:id="305" w:name="_Toc31530"/>
      <w:bookmarkStart w:id="306" w:name="_Toc152045547"/>
      <w:bookmarkStart w:id="307" w:name="_Toc179632565"/>
      <w:bookmarkStart w:id="308" w:name="_Toc296602437"/>
      <w:bookmarkStart w:id="309" w:name="_Toc17860"/>
      <w:bookmarkStart w:id="310" w:name="_Toc15058864"/>
      <w:bookmarkStart w:id="311" w:name="_Toc247085706"/>
      <w:bookmarkStart w:id="312" w:name="_Toc2129"/>
      <w:bookmarkStart w:id="313" w:name="_Toc324404833"/>
      <w:bookmarkStart w:id="314" w:name="_Toc26272"/>
      <w:bookmarkStart w:id="315" w:name="_Toc144974515"/>
      <w:bookmarkStart w:id="316" w:name="_Toc506107286"/>
      <w:bookmarkStart w:id="317" w:name="_Toc246996935"/>
      <w:r>
        <w:rPr>
          <w:rFonts w:hint="eastAsia" w:ascii="宋体" w:hAnsi="宋体" w:eastAsia="宋体" w:cs="宋体"/>
          <w:color w:val="auto"/>
          <w:sz w:val="21"/>
          <w:szCs w:val="21"/>
          <w:highlight w:val="none"/>
        </w:rPr>
        <w:t>3.1 响应文件的组成</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color w:val="auto"/>
          <w:szCs w:val="21"/>
          <w:highlight w:val="none"/>
        </w:rPr>
      </w:pPr>
      <w:bookmarkStart w:id="318" w:name="_Toc324404834"/>
      <w:bookmarkStart w:id="319" w:name="_Toc179632566"/>
      <w:bookmarkStart w:id="320" w:name="_Toc152045548"/>
      <w:bookmarkStart w:id="321" w:name="_Toc246996193"/>
      <w:bookmarkStart w:id="322" w:name="_Toc506107287"/>
      <w:bookmarkStart w:id="323" w:name="_Toc246996936"/>
      <w:bookmarkStart w:id="324" w:name="_Toc40723420"/>
      <w:bookmarkStart w:id="325" w:name="_Toc17515"/>
      <w:bookmarkStart w:id="326" w:name="_Toc247085707"/>
      <w:bookmarkStart w:id="327" w:name="_Toc2302"/>
      <w:bookmarkStart w:id="328" w:name="_Toc152042324"/>
      <w:bookmarkStart w:id="329" w:name="_Toc296602438"/>
      <w:bookmarkStart w:id="330" w:name="_Toc12184"/>
      <w:bookmarkStart w:id="331" w:name="_Toc144974516"/>
      <w:bookmarkStart w:id="332" w:name="_Toc27287"/>
      <w:bookmarkStart w:id="333" w:name="_Toc15058865"/>
      <w:bookmarkStart w:id="334" w:name="_Toc13595"/>
      <w:bookmarkStart w:id="335" w:name="_Toc1111"/>
      <w:r>
        <w:rPr>
          <w:rFonts w:hint="eastAsia" w:ascii="宋体" w:hAnsi="宋体" w:eastAsia="宋体" w:cs="宋体"/>
          <w:b w:val="0"/>
          <w:bCs/>
          <w:color w:val="auto"/>
          <w:szCs w:val="21"/>
          <w:highlight w:val="none"/>
          <w:lang w:val="en-US" w:eastAsia="zh-CN"/>
        </w:rPr>
        <w:t>响应</w:t>
      </w:r>
      <w:r>
        <w:rPr>
          <w:rFonts w:hint="eastAsia" w:ascii="宋体" w:hAnsi="宋体" w:eastAsia="宋体" w:cs="宋体"/>
          <w:b w:val="0"/>
          <w:bCs/>
          <w:color w:val="auto"/>
          <w:szCs w:val="21"/>
          <w:highlight w:val="none"/>
        </w:rPr>
        <w:t>文件的具体组成部分及材料要求详见本</w:t>
      </w:r>
      <w:r>
        <w:rPr>
          <w:rFonts w:hint="eastAsia" w:ascii="宋体" w:hAnsi="宋体" w:eastAsia="宋体" w:cs="宋体"/>
          <w:b w:val="0"/>
          <w:bCs/>
          <w:color w:val="auto"/>
          <w:szCs w:val="21"/>
          <w:highlight w:val="none"/>
          <w:lang w:val="en-US" w:eastAsia="zh-CN"/>
        </w:rPr>
        <w:t>谈判</w:t>
      </w:r>
      <w:r>
        <w:rPr>
          <w:rFonts w:hint="eastAsia" w:ascii="宋体" w:hAnsi="宋体" w:eastAsia="宋体" w:cs="宋体"/>
          <w:b w:val="0"/>
          <w:bCs/>
          <w:color w:val="auto"/>
          <w:szCs w:val="21"/>
          <w:highlight w:val="none"/>
        </w:rPr>
        <w:t>文件第</w:t>
      </w:r>
      <w:r>
        <w:rPr>
          <w:rFonts w:hint="eastAsia" w:ascii="宋体" w:hAnsi="宋体" w:eastAsia="宋体" w:cs="宋体"/>
          <w:b w:val="0"/>
          <w:bCs/>
          <w:color w:val="auto"/>
          <w:szCs w:val="21"/>
          <w:highlight w:val="none"/>
          <w:lang w:val="en-US" w:eastAsia="zh-CN"/>
        </w:rPr>
        <w:t>七</w:t>
      </w:r>
      <w:r>
        <w:rPr>
          <w:rFonts w:hint="eastAsia" w:ascii="宋体" w:hAnsi="宋体" w:eastAsia="宋体" w:cs="宋体"/>
          <w:b w:val="0"/>
          <w:bCs/>
          <w:color w:val="auto"/>
          <w:szCs w:val="21"/>
          <w:highlight w:val="none"/>
        </w:rPr>
        <w:t>章“</w:t>
      </w:r>
      <w:r>
        <w:rPr>
          <w:rFonts w:hint="eastAsia" w:ascii="宋体" w:hAnsi="宋体" w:eastAsia="宋体" w:cs="宋体"/>
          <w:b w:val="0"/>
          <w:bCs/>
          <w:color w:val="auto"/>
          <w:szCs w:val="21"/>
          <w:highlight w:val="none"/>
          <w:lang w:val="en-US" w:eastAsia="zh-CN"/>
        </w:rPr>
        <w:t>响应</w:t>
      </w:r>
      <w:r>
        <w:rPr>
          <w:rFonts w:hint="eastAsia" w:ascii="宋体" w:hAnsi="宋体" w:eastAsia="宋体" w:cs="宋体"/>
          <w:b w:val="0"/>
          <w:bCs/>
          <w:color w:val="auto"/>
          <w:szCs w:val="21"/>
          <w:highlight w:val="none"/>
        </w:rPr>
        <w:t>文件格式”。</w:t>
      </w:r>
    </w:p>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 </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bookmarkStart w:id="336" w:name="_Toc296602439"/>
      <w:bookmarkStart w:id="337" w:name="_Toc246996194"/>
      <w:bookmarkStart w:id="338" w:name="_Toc247085708"/>
      <w:bookmarkStart w:id="339" w:name="_Toc246996937"/>
      <w:bookmarkStart w:id="340" w:name="_Toc179632567"/>
      <w:bookmarkStart w:id="341" w:name="_Toc152042325"/>
      <w:bookmarkStart w:id="342" w:name="_Toc152045549"/>
      <w:bookmarkStart w:id="343" w:name="_Toc144974517"/>
      <w:bookmarkStart w:id="344" w:name="_Toc324404835"/>
      <w:r>
        <w:rPr>
          <w:rFonts w:hint="eastAsia" w:ascii="宋体" w:hAnsi="宋体" w:eastAsia="宋体" w:cs="宋体"/>
          <w:color w:val="auto"/>
          <w:szCs w:val="21"/>
          <w:highlight w:val="none"/>
        </w:rPr>
        <w:t xml:space="preserve">3.2.1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响应文件提交截止时间</w:t>
      </w:r>
      <w:r>
        <w:rPr>
          <w:rFonts w:hint="eastAsia" w:ascii="宋体" w:hAnsi="宋体" w:eastAsia="宋体" w:cs="宋体"/>
          <w:color w:val="auto"/>
          <w:szCs w:val="21"/>
          <w:highlight w:val="none"/>
        </w:rPr>
        <w:t>前修改</w:t>
      </w:r>
      <w:r>
        <w:rPr>
          <w:rFonts w:hint="eastAsia" w:ascii="宋体" w:hAnsi="宋体" w:eastAsia="宋体" w:cs="宋体"/>
          <w:color w:val="auto"/>
          <w:szCs w:val="21"/>
          <w:highlight w:val="none"/>
          <w:lang w:eastAsia="zh-CN"/>
        </w:rPr>
        <w:t>响应函</w:t>
      </w:r>
      <w:r>
        <w:rPr>
          <w:rFonts w:hint="eastAsia" w:ascii="宋体" w:hAnsi="宋体" w:eastAsia="宋体" w:cs="宋体"/>
          <w:color w:val="auto"/>
          <w:szCs w:val="21"/>
          <w:highlight w:val="none"/>
        </w:rPr>
        <w:t>中的</w:t>
      </w:r>
      <w:r>
        <w:rPr>
          <w:rFonts w:hint="eastAsia" w:ascii="宋体" w:hAnsi="宋体" w:eastAsia="宋体" w:cs="宋体"/>
          <w:color w:val="auto"/>
          <w:szCs w:val="21"/>
          <w:highlight w:val="none"/>
          <w:lang w:val="en-US" w:eastAsia="zh-CN"/>
        </w:rPr>
        <w:t>首次</w:t>
      </w:r>
      <w:r>
        <w:rPr>
          <w:rFonts w:hint="eastAsia" w:ascii="宋体" w:hAnsi="宋体" w:eastAsia="宋体" w:cs="宋体"/>
          <w:color w:val="auto"/>
          <w:szCs w:val="21"/>
          <w:highlight w:val="none"/>
        </w:rPr>
        <w:t>报价总额。此修改须符合本章第4.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款的有关要求。</w:t>
      </w:r>
    </w:p>
    <w:p>
      <w:pPr>
        <w:pStyle w:val="7"/>
        <w:widowControl w:val="0"/>
        <w:kinsoku/>
        <w:wordWrap/>
        <w:overflowPunct/>
        <w:topLinePunct w:val="0"/>
        <w:autoSpaceDE/>
        <w:autoSpaceDN/>
        <w:bidi w:val="0"/>
        <w:spacing w:before="0" w:beforeLines="0" w:after="0" w:afterLines="0" w:line="44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bookmarkStart w:id="345" w:name="_Toc40723421"/>
      <w:bookmarkStart w:id="346" w:name="_Toc15735"/>
      <w:bookmarkStart w:id="347" w:name="_Toc6377"/>
      <w:bookmarkStart w:id="348" w:name="_Toc24801"/>
      <w:bookmarkStart w:id="349" w:name="_Toc31803"/>
      <w:bookmarkStart w:id="350" w:name="_Toc15058866"/>
      <w:bookmarkStart w:id="351" w:name="_Toc605"/>
      <w:bookmarkStart w:id="352" w:name="_Toc506107288"/>
      <w:bookmarkStart w:id="353" w:name="_Toc1074"/>
      <w:r>
        <w:rPr>
          <w:rFonts w:hint="eastAsia" w:ascii="宋体" w:hAnsi="宋体" w:eastAsia="宋体" w:cs="宋体"/>
          <w:b w:val="0"/>
          <w:bCs w:val="0"/>
          <w:color w:val="auto"/>
          <w:kern w:val="2"/>
          <w:sz w:val="21"/>
          <w:szCs w:val="21"/>
          <w:highlight w:val="none"/>
          <w:lang w:val="en-US" w:eastAsia="zh-CN" w:bidi="ar-SA"/>
        </w:rPr>
        <w:t>3.2.2 响应报价包含但不限于：完成本项目所有内容所需的人工费、材料费（含主材及辅材）、制造费用、机械费、安装费、措施费、装卸费、运输费、管理费、利润、风险费用、调试、验收、培训及国家对中标单位征收的各种税费等所有一切费用，综合单价今后将不作任何调整。采购人后期不再追加任何费用。</w:t>
      </w:r>
    </w:p>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 </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除</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有效期为</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0天。</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3.3.2在</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有效期内，</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撤销或修改其响应文件的，应承担谈判文件和法律规定的责任。</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3.3.3出现特殊情况需要延长</w:t>
      </w:r>
      <w:r>
        <w:rPr>
          <w:rFonts w:hint="eastAsia" w:ascii="宋体" w:hAnsi="宋体" w:eastAsia="宋体" w:cs="宋体"/>
          <w:color w:val="auto"/>
          <w:szCs w:val="21"/>
          <w:highlight w:val="none"/>
          <w:lang w:eastAsia="zh-CN"/>
        </w:rPr>
        <w:t>响应有效期</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人以书面形式通知所有</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延长</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同意延长的，应相应延长其谈判保证金的有效期，但不得要求或被允许修改或撤销其响应文件；</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拒绝延长的，其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失效，但</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有权收回其谈判保证金。</w:t>
      </w:r>
    </w:p>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354" w:name="_Toc2297"/>
      <w:bookmarkStart w:id="355" w:name="_Toc246996938"/>
      <w:bookmarkStart w:id="356" w:name="_Toc506107289"/>
      <w:bookmarkStart w:id="357" w:name="_Toc246996195"/>
      <w:bookmarkStart w:id="358" w:name="_Toc179632568"/>
      <w:bookmarkStart w:id="359" w:name="_Toc24131"/>
      <w:bookmarkStart w:id="360" w:name="_Toc247085709"/>
      <w:bookmarkStart w:id="361" w:name="_Toc15058867"/>
      <w:bookmarkStart w:id="362" w:name="_Toc2824"/>
      <w:bookmarkStart w:id="363" w:name="_Toc152045550"/>
      <w:bookmarkStart w:id="364" w:name="_Toc296602440"/>
      <w:bookmarkStart w:id="365" w:name="_Toc6363"/>
      <w:bookmarkStart w:id="366" w:name="_Toc144974518"/>
      <w:bookmarkStart w:id="367" w:name="_Toc152042326"/>
      <w:bookmarkStart w:id="368" w:name="_Toc23510"/>
      <w:bookmarkStart w:id="369" w:name="_Toc324404836"/>
      <w:bookmarkStart w:id="370" w:name="_Toc20826"/>
      <w:bookmarkStart w:id="371" w:name="_Toc40723422"/>
      <w:r>
        <w:rPr>
          <w:rFonts w:hint="eastAsia" w:ascii="宋体" w:hAnsi="宋体" w:eastAsia="宋体" w:cs="宋体"/>
          <w:color w:val="auto"/>
          <w:sz w:val="21"/>
          <w:szCs w:val="21"/>
          <w:highlight w:val="none"/>
        </w:rPr>
        <w:t xml:space="preserve">3.4 </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hint="eastAsia" w:ascii="宋体" w:hAnsi="宋体" w:eastAsia="宋体" w:cs="宋体"/>
          <w:color w:val="auto"/>
          <w:sz w:val="21"/>
          <w:szCs w:val="21"/>
          <w:highlight w:val="none"/>
        </w:rPr>
        <w:t>谈判保证金</w:t>
      </w:r>
      <w:bookmarkEnd w:id="370"/>
      <w:bookmarkEnd w:id="371"/>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本项目不设置谈判保证金。</w:t>
      </w:r>
    </w:p>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372" w:name="_Toc30690"/>
      <w:bookmarkStart w:id="373" w:name="_Toc506107290"/>
      <w:bookmarkStart w:id="374" w:name="_Toc296602442"/>
      <w:bookmarkStart w:id="375" w:name="_Toc21407"/>
      <w:bookmarkStart w:id="376" w:name="_Toc8336"/>
      <w:bookmarkStart w:id="377" w:name="_Toc26539"/>
      <w:bookmarkStart w:id="378" w:name="_Toc2528"/>
      <w:bookmarkStart w:id="379" w:name="_Toc40723423"/>
      <w:bookmarkStart w:id="380" w:name="_Toc29240"/>
      <w:bookmarkStart w:id="381" w:name="_Toc324404837"/>
      <w:bookmarkStart w:id="382" w:name="_Toc15058868"/>
      <w:bookmarkStart w:id="383" w:name="_Toc246996197"/>
      <w:bookmarkStart w:id="384" w:name="_Toc179632571"/>
      <w:bookmarkStart w:id="385" w:name="_Toc247085711"/>
      <w:bookmarkStart w:id="386" w:name="_Toc152042329"/>
      <w:bookmarkStart w:id="387" w:name="_Toc246996940"/>
      <w:bookmarkStart w:id="388" w:name="_Toc144974521"/>
      <w:bookmarkStart w:id="389" w:name="_Toc152045553"/>
      <w:r>
        <w:rPr>
          <w:rFonts w:hint="eastAsia" w:ascii="宋体" w:hAnsi="宋体" w:eastAsia="宋体" w:cs="宋体"/>
          <w:color w:val="auto"/>
          <w:sz w:val="21"/>
          <w:szCs w:val="21"/>
          <w:highlight w:val="none"/>
        </w:rPr>
        <w:t>3.5响应文件的编制</w:t>
      </w:r>
      <w:bookmarkEnd w:id="372"/>
      <w:bookmarkEnd w:id="373"/>
      <w:bookmarkEnd w:id="374"/>
      <w:bookmarkEnd w:id="375"/>
      <w:bookmarkEnd w:id="376"/>
      <w:bookmarkEnd w:id="377"/>
      <w:bookmarkEnd w:id="378"/>
      <w:bookmarkEnd w:id="379"/>
      <w:bookmarkEnd w:id="380"/>
      <w:bookmarkEnd w:id="381"/>
      <w:bookmarkEnd w:id="382"/>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3.5.1响应文件应按第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章“响应文件格式”进行编写，如有必要，可以增加附页，作为响应文件的组成部分。</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响应文件应当对谈判文件有关</w:t>
      </w:r>
      <w:r>
        <w:rPr>
          <w:rFonts w:hint="eastAsia" w:ascii="宋体" w:hAnsi="宋体" w:eastAsia="宋体" w:cs="宋体"/>
          <w:color w:val="auto"/>
          <w:szCs w:val="21"/>
          <w:highlight w:val="none"/>
          <w:lang w:val="en-US" w:eastAsia="zh-CN"/>
        </w:rPr>
        <w:t>服务期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有效期、质量要求、招标范围等实质性内容作出响应。</w:t>
      </w:r>
    </w:p>
    <w:bookmarkEnd w:id="383"/>
    <w:bookmarkEnd w:id="384"/>
    <w:bookmarkEnd w:id="385"/>
    <w:bookmarkEnd w:id="386"/>
    <w:bookmarkEnd w:id="387"/>
    <w:bookmarkEnd w:id="388"/>
    <w:bookmarkEnd w:id="389"/>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bookmarkStart w:id="390" w:name="_Toc144974523"/>
      <w:bookmarkStart w:id="391" w:name="_Toc179632573"/>
      <w:bookmarkStart w:id="392" w:name="_Toc246996942"/>
      <w:bookmarkStart w:id="393" w:name="_Toc324404838"/>
      <w:bookmarkStart w:id="394" w:name="_Toc152042331"/>
      <w:bookmarkStart w:id="395" w:name="_Toc152045555"/>
      <w:bookmarkStart w:id="396" w:name="_Toc246996199"/>
      <w:bookmarkStart w:id="397" w:name="_Toc247085713"/>
      <w:r>
        <w:rPr>
          <w:rFonts w:hint="eastAsia" w:ascii="宋体" w:hAnsi="宋体" w:eastAsia="宋体" w:cs="宋体"/>
          <w:color w:val="auto"/>
          <w:szCs w:val="21"/>
          <w:highlight w:val="none"/>
        </w:rPr>
        <w:t>3.5.3本次</w:t>
      </w:r>
      <w:r>
        <w:rPr>
          <w:rFonts w:hint="eastAsia" w:ascii="宋体" w:hAnsi="宋体" w:eastAsia="宋体" w:cs="宋体"/>
          <w:bCs/>
          <w:color w:val="auto"/>
          <w:szCs w:val="21"/>
          <w:highlight w:val="none"/>
          <w:lang w:val="en-US" w:eastAsia="zh-CN"/>
        </w:rPr>
        <w:t>谈判</w:t>
      </w:r>
      <w:r>
        <w:rPr>
          <w:rFonts w:hint="eastAsia" w:ascii="宋体" w:hAnsi="宋体" w:eastAsia="宋体" w:cs="宋体"/>
          <w:color w:val="auto"/>
          <w:szCs w:val="21"/>
          <w:highlight w:val="none"/>
        </w:rPr>
        <w:t>提供纸质响应文件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并按要求加盖公章；份数：正本1份，副本2份；</w:t>
      </w:r>
    </w:p>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lang w:eastAsia="zh-CN"/>
        </w:rPr>
      </w:pPr>
      <w:bookmarkStart w:id="398" w:name="_Toc13992"/>
      <w:bookmarkStart w:id="399" w:name="_Toc40723424"/>
      <w:bookmarkStart w:id="400" w:name="_Toc3899"/>
      <w:bookmarkStart w:id="401" w:name="_Toc21696"/>
      <w:bookmarkStart w:id="402" w:name="_Toc21550"/>
      <w:bookmarkStart w:id="403" w:name="_Toc15058869"/>
      <w:bookmarkStart w:id="404" w:name="_Toc506107291"/>
      <w:bookmarkStart w:id="405" w:name="_Toc27623"/>
      <w:bookmarkStart w:id="406" w:name="_Toc11580"/>
      <w:r>
        <w:rPr>
          <w:rFonts w:hint="eastAsia" w:ascii="宋体" w:hAnsi="宋体" w:eastAsia="宋体" w:cs="宋体"/>
          <w:color w:val="auto"/>
          <w:sz w:val="21"/>
          <w:szCs w:val="21"/>
          <w:highlight w:val="none"/>
        </w:rPr>
        <w:t>4.</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eastAsia="宋体" w:cs="宋体"/>
          <w:color w:val="auto"/>
          <w:sz w:val="21"/>
          <w:szCs w:val="21"/>
          <w:highlight w:val="none"/>
          <w:lang w:val="en-US" w:eastAsia="zh-CN"/>
        </w:rPr>
        <w:t>响应</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407" w:name="_Toc9785"/>
      <w:bookmarkStart w:id="408" w:name="_Toc28362"/>
      <w:bookmarkStart w:id="409" w:name="_Toc4283"/>
      <w:bookmarkStart w:id="410" w:name="_Toc8689"/>
      <w:bookmarkStart w:id="411" w:name="_Toc19335"/>
      <w:bookmarkStart w:id="412" w:name="_Toc15058870"/>
      <w:bookmarkStart w:id="413" w:name="_Toc15316"/>
      <w:bookmarkStart w:id="414" w:name="_Toc6616"/>
      <w:bookmarkStart w:id="415" w:name="_Toc40723425"/>
      <w:r>
        <w:rPr>
          <w:rFonts w:hint="eastAsia" w:ascii="宋体" w:hAnsi="宋体" w:eastAsia="宋体" w:cs="宋体"/>
          <w:color w:val="auto"/>
          <w:sz w:val="21"/>
          <w:szCs w:val="21"/>
          <w:highlight w:val="none"/>
        </w:rPr>
        <w:t>4.1</w:t>
      </w:r>
      <w:bookmarkEnd w:id="407"/>
      <w:bookmarkEnd w:id="408"/>
      <w:bookmarkEnd w:id="409"/>
      <w:bookmarkEnd w:id="410"/>
      <w:bookmarkEnd w:id="411"/>
      <w:bookmarkEnd w:id="412"/>
      <w:bookmarkEnd w:id="413"/>
      <w:bookmarkEnd w:id="414"/>
      <w:bookmarkEnd w:id="415"/>
      <w:bookmarkStart w:id="416" w:name="_Toc506107293"/>
      <w:bookmarkStart w:id="417" w:name="_Toc2219"/>
      <w:bookmarkStart w:id="418" w:name="_Toc246996944"/>
      <w:bookmarkStart w:id="419" w:name="_Toc246996201"/>
      <w:bookmarkStart w:id="420" w:name="_Toc12286"/>
      <w:bookmarkStart w:id="421" w:name="_Toc179632575"/>
      <w:bookmarkStart w:id="422" w:name="_Toc324404840"/>
      <w:bookmarkStart w:id="423" w:name="_Toc296602445"/>
      <w:bookmarkStart w:id="424" w:name="_Toc247085715"/>
      <w:bookmarkStart w:id="425" w:name="_Toc152042333"/>
      <w:bookmarkStart w:id="426" w:name="_Toc4586"/>
      <w:bookmarkStart w:id="427" w:name="_Toc152045557"/>
      <w:bookmarkStart w:id="428" w:name="_Toc15058872"/>
      <w:bookmarkStart w:id="429" w:name="_Toc144974525"/>
      <w:bookmarkStart w:id="430" w:name="_Toc28424"/>
      <w:r>
        <w:rPr>
          <w:rFonts w:hint="eastAsia" w:ascii="宋体" w:hAnsi="宋体" w:eastAsia="宋体" w:cs="宋体"/>
          <w:color w:val="auto"/>
          <w:sz w:val="21"/>
          <w:szCs w:val="21"/>
          <w:highlight w:val="none"/>
        </w:rPr>
        <w:t>响应文件的递交</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应在</w:t>
      </w:r>
      <w:r>
        <w:rPr>
          <w:rFonts w:hint="eastAsia" w:ascii="宋体" w:hAnsi="宋体" w:eastAsia="宋体" w:cs="宋体"/>
          <w:color w:val="auto"/>
          <w:szCs w:val="21"/>
          <w:highlight w:val="none"/>
          <w:lang w:val="en-US" w:eastAsia="zh-CN"/>
        </w:rPr>
        <w:t>响应文件提交截止时间</w:t>
      </w:r>
      <w:r>
        <w:rPr>
          <w:rFonts w:hint="eastAsia" w:ascii="宋体" w:hAnsi="宋体" w:eastAsia="宋体" w:cs="宋体"/>
          <w:color w:val="auto"/>
          <w:szCs w:val="21"/>
          <w:highlight w:val="none"/>
        </w:rPr>
        <w:t>前递交响应文件。</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431" w:name="_Toc23131"/>
      <w:bookmarkStart w:id="432" w:name="_Toc2705"/>
      <w:bookmarkStart w:id="433" w:name="_Toc247085716"/>
      <w:bookmarkStart w:id="434" w:name="_Toc179632576"/>
      <w:bookmarkStart w:id="435" w:name="_Toc144974526"/>
      <w:bookmarkStart w:id="436" w:name="_Toc152045558"/>
      <w:bookmarkStart w:id="437" w:name="_Toc246996202"/>
      <w:bookmarkStart w:id="438" w:name="_Toc246996945"/>
      <w:bookmarkStart w:id="439" w:name="_Toc18891"/>
      <w:bookmarkStart w:id="440" w:name="_Toc324404841"/>
      <w:bookmarkStart w:id="441" w:name="_Toc15058873"/>
      <w:bookmarkStart w:id="442" w:name="_Toc506107294"/>
      <w:bookmarkStart w:id="443" w:name="_Toc152042334"/>
      <w:bookmarkStart w:id="444" w:name="_Toc296602446"/>
      <w:bookmarkStart w:id="445" w:name="_Toc442"/>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响应文件的修改与撤回</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szCs w:val="21"/>
          <w:highlight w:val="none"/>
        </w:rPr>
      </w:pPr>
      <w:bookmarkStart w:id="446" w:name="_Toc27116"/>
      <w:bookmarkStart w:id="447" w:name="_Toc179632578"/>
      <w:bookmarkStart w:id="448" w:name="_Toc144974528"/>
      <w:bookmarkStart w:id="449" w:name="_Toc23450"/>
      <w:bookmarkStart w:id="450" w:name="_Toc296602448"/>
      <w:bookmarkStart w:id="451" w:name="_Toc247085718"/>
      <w:bookmarkStart w:id="452" w:name="_Toc28266"/>
      <w:bookmarkStart w:id="453" w:name="_Toc324404843"/>
      <w:bookmarkStart w:id="454" w:name="_Toc15058875"/>
      <w:bookmarkStart w:id="455" w:name="_Toc25545"/>
      <w:bookmarkStart w:id="456" w:name="_Toc152045560"/>
      <w:bookmarkStart w:id="457" w:name="_Toc4822"/>
      <w:bookmarkStart w:id="458" w:name="_Toc246996204"/>
      <w:bookmarkStart w:id="459" w:name="_Toc506107296"/>
      <w:bookmarkStart w:id="460" w:name="_Toc246996947"/>
      <w:bookmarkStart w:id="461" w:name="_Toc152042336"/>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 xml:space="preserve">.1 </w:t>
      </w:r>
      <w:r>
        <w:rPr>
          <w:rFonts w:hint="eastAsia" w:ascii="宋体" w:hAnsi="宋体" w:eastAsia="宋体" w:cs="宋体"/>
          <w:color w:val="auto"/>
          <w:szCs w:val="21"/>
          <w:highlight w:val="none"/>
        </w:rPr>
        <w:t>在规定的</w:t>
      </w:r>
      <w:r>
        <w:rPr>
          <w:rFonts w:hint="eastAsia" w:ascii="宋体" w:hAnsi="宋体" w:eastAsia="宋体" w:cs="宋体"/>
          <w:i w:val="0"/>
          <w:iCs w:val="0"/>
          <w:color w:val="auto"/>
          <w:sz w:val="21"/>
          <w:szCs w:val="21"/>
          <w:highlight w:val="none"/>
          <w:lang w:val="en-US" w:eastAsia="zh-CN"/>
        </w:rPr>
        <w:t>提交首次响应文件截止时间</w:t>
      </w:r>
      <w:r>
        <w:rPr>
          <w:rFonts w:hint="eastAsia" w:ascii="宋体" w:hAnsi="宋体" w:eastAsia="宋体" w:cs="宋体"/>
          <w:color w:val="auto"/>
          <w:szCs w:val="21"/>
          <w:highlight w:val="none"/>
          <w:lang w:val="en-US" w:eastAsia="zh-CN"/>
        </w:rPr>
        <w:t>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可以自行撤回已递交的响应文件，并可修改后重新</w:t>
      </w:r>
      <w:r>
        <w:rPr>
          <w:rFonts w:hint="eastAsia" w:ascii="宋体" w:hAnsi="宋体" w:cs="宋体"/>
          <w:color w:val="auto"/>
          <w:szCs w:val="21"/>
          <w:highlight w:val="none"/>
          <w:lang w:eastAsia="zh-CN"/>
        </w:rPr>
        <w:t>递交</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开启</w:t>
      </w:r>
      <w:r>
        <w:rPr>
          <w:rFonts w:hint="eastAsia" w:ascii="宋体" w:hAnsi="宋体" w:eastAsia="宋体" w:cs="宋体"/>
          <w:color w:val="auto"/>
          <w:szCs w:val="21"/>
          <w:highlight w:val="none"/>
        </w:rPr>
        <w:t>时以</w:t>
      </w:r>
      <w:r>
        <w:rPr>
          <w:rFonts w:hint="eastAsia" w:ascii="宋体" w:hAnsi="宋体" w:eastAsia="宋体" w:cs="宋体"/>
          <w:i w:val="0"/>
          <w:iCs w:val="0"/>
          <w:color w:val="auto"/>
          <w:sz w:val="21"/>
          <w:szCs w:val="21"/>
          <w:highlight w:val="none"/>
          <w:lang w:val="en-US" w:eastAsia="zh-CN"/>
        </w:rPr>
        <w:t>提交首次响应文件截止时间</w:t>
      </w:r>
      <w:r>
        <w:rPr>
          <w:rFonts w:hint="eastAsia" w:ascii="宋体" w:hAnsi="宋体" w:eastAsia="宋体" w:cs="宋体"/>
          <w:color w:val="auto"/>
          <w:szCs w:val="21"/>
          <w:highlight w:val="none"/>
          <w:lang w:val="en-US" w:eastAsia="zh-CN"/>
        </w:rPr>
        <w:t>前供应商</w:t>
      </w:r>
      <w:r>
        <w:rPr>
          <w:rFonts w:hint="eastAsia" w:ascii="宋体" w:hAnsi="宋体" w:eastAsia="宋体" w:cs="宋体"/>
          <w:color w:val="auto"/>
          <w:szCs w:val="21"/>
          <w:highlight w:val="none"/>
        </w:rPr>
        <w:t>最终</w:t>
      </w:r>
      <w:r>
        <w:rPr>
          <w:rFonts w:hint="eastAsia" w:ascii="宋体" w:hAnsi="宋体" w:eastAsia="宋体" w:cs="宋体"/>
          <w:color w:val="auto"/>
          <w:szCs w:val="21"/>
          <w:highlight w:val="none"/>
          <w:lang w:val="en-US" w:eastAsia="zh-CN"/>
        </w:rPr>
        <w:t>发送</w:t>
      </w:r>
      <w:r>
        <w:rPr>
          <w:rFonts w:hint="eastAsia" w:ascii="宋体" w:hAnsi="宋体" w:eastAsia="宋体" w:cs="宋体"/>
          <w:color w:val="auto"/>
          <w:szCs w:val="21"/>
          <w:highlight w:val="none"/>
        </w:rPr>
        <w:t>的响应文件为准。</w:t>
      </w:r>
    </w:p>
    <w:p>
      <w:pPr>
        <w:pStyle w:val="7"/>
        <w:keepNext/>
        <w:keepLines/>
        <w:pageBreakBefore w:val="0"/>
        <w:widowControl w:val="0"/>
        <w:kinsoku/>
        <w:wordWrap/>
        <w:overflowPunct/>
        <w:topLinePunct w:val="0"/>
        <w:autoSpaceDE/>
        <w:autoSpaceDN/>
        <w:bidi w:val="0"/>
        <w:adjustRightInd/>
        <w:snapToGrid/>
        <w:spacing w:before="0" w:beforeLines="0" w:after="0" w:afterLines="0"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 开</w:t>
      </w:r>
      <w:bookmarkEnd w:id="446"/>
      <w:r>
        <w:rPr>
          <w:rFonts w:hint="eastAsia" w:ascii="宋体" w:hAnsi="宋体" w:eastAsia="宋体" w:cs="宋体"/>
          <w:b/>
          <w:bCs/>
          <w:color w:val="auto"/>
          <w:sz w:val="21"/>
          <w:szCs w:val="21"/>
          <w:highlight w:val="none"/>
          <w:lang w:val="en-US" w:eastAsia="zh-CN"/>
        </w:rPr>
        <w:t>启</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 </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rPr>
        <w:t>时间和地点</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bookmarkStart w:id="462" w:name="_Toc152045561"/>
      <w:bookmarkStart w:id="463" w:name="_Toc179632579"/>
      <w:bookmarkStart w:id="464" w:name="_Toc144974529"/>
      <w:bookmarkStart w:id="465" w:name="_Toc247085719"/>
      <w:bookmarkStart w:id="466" w:name="_Toc6471"/>
      <w:bookmarkStart w:id="467" w:name="_Toc246996205"/>
      <w:bookmarkStart w:id="468" w:name="_Toc19685"/>
      <w:bookmarkStart w:id="469" w:name="_Toc7382"/>
      <w:bookmarkStart w:id="470" w:name="_Toc3845"/>
      <w:bookmarkStart w:id="471" w:name="_Toc506107297"/>
      <w:bookmarkStart w:id="472" w:name="_Toc152042337"/>
      <w:bookmarkStart w:id="473" w:name="_Toc246996948"/>
      <w:bookmarkStart w:id="474" w:name="_Toc296602449"/>
      <w:bookmarkStart w:id="475" w:name="_Toc324404844"/>
      <w:bookmarkStart w:id="476" w:name="_Toc15058876"/>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须知前附表规定的</w:t>
      </w:r>
      <w:r>
        <w:rPr>
          <w:rFonts w:hint="eastAsia" w:ascii="宋体" w:hAnsi="宋体" w:eastAsia="宋体" w:cs="宋体"/>
          <w:color w:val="auto"/>
          <w:szCs w:val="21"/>
          <w:highlight w:val="none"/>
          <w:lang w:val="en-US" w:eastAsia="zh-CN"/>
        </w:rPr>
        <w:t>提交首次响应文件截止时间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开启</w:t>
      </w:r>
      <w:r>
        <w:rPr>
          <w:rFonts w:hint="eastAsia" w:ascii="宋体" w:hAnsi="宋体" w:eastAsia="宋体" w:cs="宋体"/>
          <w:color w:val="auto"/>
          <w:szCs w:val="21"/>
          <w:highlight w:val="none"/>
        </w:rPr>
        <w:t>时间）和</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须知前附表规定的地点公开开</w:t>
      </w:r>
      <w:r>
        <w:rPr>
          <w:rFonts w:hint="eastAsia" w:ascii="宋体" w:hAnsi="宋体" w:eastAsia="宋体" w:cs="宋体"/>
          <w:color w:val="auto"/>
          <w:szCs w:val="21"/>
          <w:highlight w:val="none"/>
          <w:lang w:val="en-US" w:eastAsia="zh-CN"/>
        </w:rPr>
        <w:t>启</w:t>
      </w:r>
      <w:r>
        <w:rPr>
          <w:rFonts w:hint="eastAsia" w:ascii="宋体" w:hAnsi="宋体" w:eastAsia="宋体" w:cs="宋体"/>
          <w:color w:val="auto"/>
          <w:szCs w:val="21"/>
          <w:highlight w:val="none"/>
        </w:rPr>
        <w:t>。</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5.2 </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rPr>
        <w:t>程序</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w:t>
      </w:r>
      <w:bookmarkStart w:id="477" w:name="_Toc296602450"/>
      <w:bookmarkStart w:id="478" w:name="_Toc324404845"/>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bookmarkStart w:id="479" w:name="_Toc506107298"/>
      <w:r>
        <w:rPr>
          <w:rFonts w:hint="eastAsia" w:ascii="宋体" w:hAnsi="宋体" w:eastAsia="宋体" w:cs="宋体"/>
          <w:color w:val="auto"/>
          <w:szCs w:val="21"/>
          <w:highlight w:val="none"/>
        </w:rPr>
        <w:t>（1）宣布</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纪律；</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（2）宣布</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、代理机构主持人、见证人等有关人员姓名；</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（3）公布</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截止时间前，递交</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 xml:space="preserve">名称等； </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（4）公布</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报价、质量目标、工期及其他内容，并记录在案；</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结束。</w:t>
      </w:r>
    </w:p>
    <w:bookmarkEnd w:id="477"/>
    <w:bookmarkEnd w:id="478"/>
    <w:bookmarkEnd w:id="479"/>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lang w:eastAsia="zh-CN"/>
        </w:rPr>
      </w:pPr>
      <w:bookmarkStart w:id="480" w:name="_Toc179632580"/>
      <w:bookmarkStart w:id="481" w:name="_Toc144974530"/>
      <w:bookmarkStart w:id="482" w:name="_Toc246996206"/>
      <w:bookmarkStart w:id="483" w:name="_Toc246996949"/>
      <w:bookmarkStart w:id="484" w:name="_Toc17600"/>
      <w:bookmarkStart w:id="485" w:name="_Toc10782"/>
      <w:bookmarkStart w:id="486" w:name="_Toc247085720"/>
      <w:bookmarkStart w:id="487" w:name="_Toc506107299"/>
      <w:bookmarkStart w:id="488" w:name="_Toc152045562"/>
      <w:bookmarkStart w:id="489" w:name="_Toc31476"/>
      <w:bookmarkStart w:id="490" w:name="_Toc152042338"/>
      <w:bookmarkStart w:id="491" w:name="_Toc15058884"/>
      <w:bookmarkStart w:id="492" w:name="_Toc3076"/>
      <w:bookmarkStart w:id="493" w:name="_Toc324404846"/>
      <w:bookmarkStart w:id="494" w:name="_Toc40723427"/>
      <w:bookmarkStart w:id="495" w:name="_Toc4987"/>
      <w:bookmarkStart w:id="496" w:name="_Toc5550"/>
      <w:r>
        <w:rPr>
          <w:rFonts w:hint="eastAsia" w:ascii="宋体" w:hAnsi="宋体" w:eastAsia="宋体" w:cs="宋体"/>
          <w:color w:val="auto"/>
          <w:sz w:val="21"/>
          <w:szCs w:val="21"/>
          <w:highlight w:val="none"/>
        </w:rPr>
        <w:t xml:space="preserve">6. </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Fonts w:hint="eastAsia" w:ascii="宋体" w:hAnsi="宋体" w:eastAsia="宋体" w:cs="宋体"/>
          <w:color w:val="auto"/>
          <w:sz w:val="21"/>
          <w:szCs w:val="21"/>
          <w:highlight w:val="none"/>
          <w:lang w:val="en-US" w:eastAsia="zh-CN"/>
        </w:rPr>
        <w:t>评审</w:t>
      </w:r>
      <w:bookmarkEnd w:id="496"/>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497" w:name="_Toc5188"/>
      <w:bookmarkStart w:id="498" w:name="_Toc506107300"/>
      <w:bookmarkStart w:id="499" w:name="_Toc296602452"/>
      <w:bookmarkStart w:id="500" w:name="_Toc152042339"/>
      <w:bookmarkStart w:id="501" w:name="_Toc324404847"/>
      <w:bookmarkStart w:id="502" w:name="_Toc144974531"/>
      <w:bookmarkStart w:id="503" w:name="_Toc246996207"/>
      <w:bookmarkStart w:id="504" w:name="_Toc152045563"/>
      <w:bookmarkStart w:id="505" w:name="_Toc3735"/>
      <w:bookmarkStart w:id="506" w:name="_Toc247085721"/>
      <w:bookmarkStart w:id="507" w:name="_Toc246996950"/>
      <w:bookmarkStart w:id="508" w:name="_Toc15058885"/>
      <w:bookmarkStart w:id="509" w:name="_Toc8502"/>
      <w:bookmarkStart w:id="510" w:name="_Toc179632581"/>
      <w:bookmarkStart w:id="511" w:name="_Toc4614"/>
      <w:r>
        <w:rPr>
          <w:rFonts w:hint="eastAsia" w:ascii="宋体" w:hAnsi="宋体" w:eastAsia="宋体" w:cs="宋体"/>
          <w:color w:val="auto"/>
          <w:sz w:val="21"/>
          <w:szCs w:val="21"/>
          <w:highlight w:val="none"/>
        </w:rPr>
        <w:t xml:space="preserve">6.1 </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ascii="宋体" w:hAnsi="宋体" w:eastAsia="宋体" w:cs="宋体"/>
          <w:color w:val="auto"/>
          <w:sz w:val="21"/>
          <w:szCs w:val="21"/>
          <w:highlight w:val="none"/>
        </w:rPr>
        <w:t>谈判小组</w:t>
      </w:r>
      <w:bookmarkEnd w:id="511"/>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6.1.1 </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人依法组建的谈判小组负责。</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 谈判小组成员有下列情形之一的，应当回避：</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主要负责人的近亲属；</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（2）项目主管部门或者行政监督部门的人员；</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有经济利益关系；</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（4）曾因在招标、评标以及其他与招标投标有关活动中从事违法行为而受过行政处罚或刑事处罚的；</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有其他利害关系。</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512" w:name="_Toc15058886"/>
      <w:bookmarkStart w:id="513" w:name="_Toc22767"/>
      <w:bookmarkStart w:id="514" w:name="_Toc16148"/>
      <w:bookmarkStart w:id="515" w:name="_Toc247085722"/>
      <w:bookmarkStart w:id="516" w:name="_Toc324404848"/>
      <w:bookmarkStart w:id="517" w:name="_Toc27369"/>
      <w:bookmarkStart w:id="518" w:name="_Toc179632582"/>
      <w:bookmarkStart w:id="519" w:name="_Toc2355"/>
      <w:bookmarkStart w:id="520" w:name="_Toc296602453"/>
      <w:bookmarkStart w:id="521" w:name="_Toc144974532"/>
      <w:bookmarkStart w:id="522" w:name="_Toc506107301"/>
      <w:bookmarkStart w:id="523" w:name="_Toc246996208"/>
      <w:bookmarkStart w:id="524" w:name="_Toc246996951"/>
      <w:bookmarkStart w:id="525" w:name="_Toc152042340"/>
      <w:bookmarkStart w:id="526" w:name="_Toc152045564"/>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原则</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活动遵循公平、公正、科学和择优的原则。</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lang w:eastAsia="zh-CN"/>
        </w:rPr>
      </w:pPr>
      <w:bookmarkStart w:id="527" w:name="_Toc144974533"/>
      <w:bookmarkStart w:id="528" w:name="_Toc324404849"/>
      <w:bookmarkStart w:id="529" w:name="_Toc15058887"/>
      <w:bookmarkStart w:id="530" w:name="_Toc1243"/>
      <w:bookmarkStart w:id="531" w:name="_Toc506107302"/>
      <w:bookmarkStart w:id="532" w:name="_Toc5572"/>
      <w:bookmarkStart w:id="533" w:name="_Toc247085723"/>
      <w:bookmarkStart w:id="534" w:name="_Toc179632583"/>
      <w:bookmarkStart w:id="535" w:name="_Toc152045565"/>
      <w:bookmarkStart w:id="536" w:name="_Toc152042341"/>
      <w:bookmarkStart w:id="537" w:name="_Toc29067"/>
      <w:bookmarkStart w:id="538" w:name="_Toc296602454"/>
      <w:bookmarkStart w:id="539" w:name="_Toc246996209"/>
      <w:bookmarkStart w:id="540" w:name="_Toc246996952"/>
      <w:bookmarkStart w:id="541" w:name="_Toc16023"/>
      <w:r>
        <w:rPr>
          <w:rFonts w:hint="eastAsia" w:ascii="宋体" w:hAnsi="宋体" w:eastAsia="宋体" w:cs="宋体"/>
          <w:color w:val="auto"/>
          <w:sz w:val="21"/>
          <w:szCs w:val="21"/>
          <w:highlight w:val="none"/>
        </w:rPr>
        <w:t xml:space="preserve">6.3 </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hint="eastAsia" w:ascii="宋体" w:hAnsi="宋体" w:eastAsia="宋体" w:cs="宋体"/>
          <w:color w:val="auto"/>
          <w:sz w:val="21"/>
          <w:szCs w:val="21"/>
          <w:highlight w:val="none"/>
          <w:lang w:val="en-US" w:eastAsia="zh-CN"/>
        </w:rPr>
        <w:t>评审</w:t>
      </w:r>
      <w:bookmarkEnd w:id="541"/>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bookmarkStart w:id="542" w:name="_Toc179632584"/>
      <w:bookmarkStart w:id="543" w:name="_Toc247085724"/>
      <w:bookmarkStart w:id="544" w:name="_Toc246996953"/>
      <w:bookmarkStart w:id="545" w:name="_Toc324404850"/>
      <w:bookmarkStart w:id="546" w:name="_Toc152042342"/>
      <w:bookmarkStart w:id="547" w:name="_Toc152045566"/>
      <w:bookmarkStart w:id="548" w:name="_Toc246996210"/>
      <w:bookmarkStart w:id="549" w:name="_Toc144974534"/>
      <w:r>
        <w:rPr>
          <w:rFonts w:hint="eastAsia" w:ascii="宋体" w:hAnsi="宋体" w:eastAsia="宋体" w:cs="宋体"/>
          <w:color w:val="auto"/>
          <w:szCs w:val="21"/>
          <w:highlight w:val="none"/>
        </w:rPr>
        <w:t>谈判小组按照第四章“</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办法”规定的方法、评审因素、标准和程序对响应文件进行评审。第四章“</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办法”没有规定的方法、评审因素和标准，不作为</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依据。</w:t>
      </w:r>
      <w:bookmarkStart w:id="550" w:name="_Toc15058888"/>
      <w:bookmarkStart w:id="551" w:name="_Toc20976"/>
      <w:bookmarkStart w:id="552" w:name="_Toc28995"/>
      <w:bookmarkStart w:id="553" w:name="_Toc25613"/>
      <w:bookmarkStart w:id="554" w:name="_Toc3039"/>
      <w:bookmarkStart w:id="555" w:name="_Toc506107303"/>
      <w:bookmarkStart w:id="556" w:name="_Toc372"/>
    </w:p>
    <w:p>
      <w:pPr>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6.4</w:t>
      </w:r>
      <w:r>
        <w:rPr>
          <w:rFonts w:hint="eastAsia" w:ascii="宋体" w:hAnsi="宋体" w:eastAsia="宋体" w:cs="宋体"/>
          <w:b/>
          <w:bCs/>
          <w:color w:val="auto"/>
          <w:szCs w:val="21"/>
          <w:highlight w:val="none"/>
          <w:lang w:val="en-US" w:eastAsia="zh-CN"/>
        </w:rPr>
        <w:t>成交</w:t>
      </w:r>
      <w:r>
        <w:rPr>
          <w:rFonts w:hint="eastAsia" w:ascii="宋体" w:hAnsi="宋体" w:eastAsia="宋体" w:cs="宋体"/>
          <w:b/>
          <w:bCs/>
          <w:color w:val="auto"/>
          <w:szCs w:val="21"/>
          <w:highlight w:val="none"/>
        </w:rPr>
        <w:t>果公告</w:t>
      </w:r>
    </w:p>
    <w:p>
      <w:pPr>
        <w:widowControl w:val="0"/>
        <w:kinsoku/>
        <w:wordWrap/>
        <w:overflowPunct/>
        <w:topLinePunct w:val="0"/>
        <w:autoSpaceDE/>
        <w:autoSpaceDN/>
        <w:bidi w:val="0"/>
        <w:spacing w:line="440" w:lineRule="exact"/>
        <w:ind w:firstLine="42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采购人应将所有成交候选人的情况在</w:t>
      </w:r>
      <w:r>
        <w:rPr>
          <w:rFonts w:hint="eastAsia" w:ascii="宋体" w:hAnsi="宋体" w:cs="宋体"/>
          <w:b/>
          <w:bCs/>
          <w:color w:val="auto"/>
          <w:szCs w:val="21"/>
          <w:highlight w:val="none"/>
          <w:lang w:val="en-US" w:eastAsia="zh-CN"/>
        </w:rPr>
        <w:t>滁州市妇幼保健计划生育服务中心网站（http://www.czsfjzx.com/）</w:t>
      </w:r>
      <w:r>
        <w:rPr>
          <w:rFonts w:hint="eastAsia" w:ascii="宋体" w:hAnsi="宋体" w:eastAsia="宋体" w:cs="宋体"/>
          <w:b/>
          <w:bCs/>
          <w:color w:val="auto"/>
          <w:szCs w:val="21"/>
          <w:highlight w:val="none"/>
        </w:rPr>
        <w:t>上予以公告，公示期为1个工作日。</w:t>
      </w:r>
    </w:p>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557" w:name="_Toc40723428"/>
      <w:bookmarkStart w:id="558" w:name="_Toc9528"/>
      <w:r>
        <w:rPr>
          <w:rFonts w:hint="eastAsia" w:ascii="宋体" w:hAnsi="宋体" w:eastAsia="宋体" w:cs="宋体"/>
          <w:color w:val="auto"/>
          <w:sz w:val="21"/>
          <w:szCs w:val="21"/>
          <w:highlight w:val="none"/>
        </w:rPr>
        <w:t>7. 合同授予</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lang w:eastAsia="zh-CN"/>
        </w:rPr>
      </w:pPr>
      <w:bookmarkStart w:id="559" w:name="_Toc12965"/>
      <w:bookmarkStart w:id="560" w:name="_Toc246996211"/>
      <w:bookmarkStart w:id="561" w:name="_Toc144974535"/>
      <w:bookmarkStart w:id="562" w:name="_Toc296602456"/>
      <w:bookmarkStart w:id="563" w:name="_Toc23977"/>
      <w:bookmarkStart w:id="564" w:name="_Toc247085725"/>
      <w:bookmarkStart w:id="565" w:name="_Toc246996954"/>
      <w:bookmarkStart w:id="566" w:name="_Toc152045567"/>
      <w:bookmarkStart w:id="567" w:name="_Toc18166"/>
      <w:bookmarkStart w:id="568" w:name="_Toc152042343"/>
      <w:bookmarkStart w:id="569" w:name="_Toc15058889"/>
      <w:bookmarkStart w:id="570" w:name="_Toc179632585"/>
      <w:bookmarkStart w:id="571" w:name="_Toc324404851"/>
      <w:bookmarkStart w:id="572" w:name="_Toc506107304"/>
      <w:bookmarkStart w:id="573" w:name="_Toc5702"/>
      <w:r>
        <w:rPr>
          <w:rFonts w:hint="eastAsia" w:ascii="宋体" w:hAnsi="宋体" w:eastAsia="宋体" w:cs="宋体"/>
          <w:color w:val="auto"/>
          <w:sz w:val="21"/>
          <w:szCs w:val="21"/>
          <w:highlight w:val="none"/>
        </w:rPr>
        <w:t xml:space="preserve">7.1 </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Fonts w:hint="eastAsia" w:ascii="宋体" w:hAnsi="宋体" w:eastAsia="宋体" w:cs="宋体"/>
          <w:color w:val="auto"/>
          <w:sz w:val="21"/>
          <w:szCs w:val="21"/>
          <w:highlight w:val="none"/>
          <w:lang w:val="en-US" w:eastAsia="zh-CN"/>
        </w:rPr>
        <w:t>成交</w:t>
      </w:r>
      <w:bookmarkEnd w:id="573"/>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bookmarkStart w:id="574" w:name="_Toc324404852"/>
      <w:bookmarkStart w:id="575" w:name="_Toc296602457"/>
      <w:r>
        <w:rPr>
          <w:rFonts w:hint="eastAsia" w:ascii="宋体" w:hAnsi="宋体" w:eastAsia="宋体" w:cs="宋体"/>
          <w:color w:val="auto"/>
          <w:szCs w:val="21"/>
          <w:highlight w:val="none"/>
        </w:rPr>
        <w:t>7.1.1成交供应商的确定</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前附表规定谈判小组直接确定成交供应商外，采购人依据谈判小组推荐的成交候选</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确定成交供应商，谈判小组推荐成交候选</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的人数见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bookmarkEnd w:id="574"/>
    <w:bookmarkEnd w:id="575"/>
    <w:p>
      <w:pPr>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bookmarkStart w:id="576" w:name="_Toc246996955"/>
      <w:bookmarkStart w:id="577" w:name="_Toc246996212"/>
      <w:bookmarkStart w:id="578" w:name="_Toc179632586"/>
      <w:bookmarkStart w:id="579" w:name="_Toc152042344"/>
      <w:bookmarkStart w:id="580" w:name="_Toc296602458"/>
      <w:bookmarkStart w:id="581" w:name="_Toc247085726"/>
      <w:bookmarkStart w:id="582" w:name="_Toc324404853"/>
      <w:bookmarkStart w:id="583" w:name="_Toc144974536"/>
      <w:bookmarkStart w:id="584" w:name="_Toc152045568"/>
      <w:r>
        <w:rPr>
          <w:rFonts w:hint="eastAsia" w:ascii="宋体" w:hAnsi="宋体" w:eastAsia="宋体" w:cs="宋体"/>
          <w:b/>
          <w:bCs/>
          <w:color w:val="auto"/>
          <w:szCs w:val="21"/>
          <w:highlight w:val="none"/>
        </w:rPr>
        <w:t xml:space="preserve">7.1.2 </w:t>
      </w:r>
      <w:r>
        <w:rPr>
          <w:rFonts w:hint="eastAsia" w:ascii="宋体" w:hAnsi="宋体" w:eastAsia="宋体" w:cs="宋体"/>
          <w:color w:val="auto"/>
          <w:szCs w:val="21"/>
          <w:highlight w:val="none"/>
        </w:rPr>
        <w:t>成交供应商确定后，</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人应将成交供应商名单在</w:t>
      </w:r>
      <w:r>
        <w:rPr>
          <w:rFonts w:hint="eastAsia" w:ascii="宋体" w:hAnsi="宋体" w:cs="宋体"/>
          <w:color w:val="auto"/>
          <w:szCs w:val="21"/>
          <w:highlight w:val="none"/>
          <w:lang w:val="en-US" w:eastAsia="zh-CN"/>
        </w:rPr>
        <w:t>滁州市妇幼保健计划生育服务中心网站（http://www.czsfjzx.com/）</w:t>
      </w:r>
      <w:r>
        <w:rPr>
          <w:rFonts w:hint="eastAsia" w:ascii="宋体" w:hAnsi="宋体" w:eastAsia="宋体" w:cs="宋体"/>
          <w:color w:val="auto"/>
          <w:szCs w:val="21"/>
          <w:highlight w:val="none"/>
        </w:rPr>
        <w:t>公告。</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585" w:name="_Toc14212"/>
      <w:bookmarkStart w:id="586" w:name="_Toc2019"/>
      <w:bookmarkStart w:id="587" w:name="_Toc15058891"/>
      <w:bookmarkStart w:id="588" w:name="_Toc5880"/>
      <w:bookmarkStart w:id="589" w:name="_Toc506107306"/>
      <w:bookmarkStart w:id="590" w:name="_Toc9556"/>
      <w:r>
        <w:rPr>
          <w:rFonts w:hint="eastAsia" w:ascii="宋体" w:hAnsi="宋体" w:eastAsia="宋体" w:cs="宋体"/>
          <w:color w:val="auto"/>
          <w:sz w:val="21"/>
          <w:szCs w:val="21"/>
          <w:highlight w:val="none"/>
        </w:rPr>
        <w:t xml:space="preserve">7.2 </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7.2.1采购人或</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应在成交供应商确定之日起2个工作日内，在</w:t>
      </w:r>
      <w:r>
        <w:rPr>
          <w:rFonts w:hint="eastAsia" w:ascii="宋体" w:hAnsi="宋体" w:cs="宋体"/>
          <w:color w:val="auto"/>
          <w:szCs w:val="21"/>
          <w:highlight w:val="none"/>
          <w:lang w:val="en-US" w:eastAsia="zh-CN"/>
        </w:rPr>
        <w:t>滁州市妇幼保健计划生育服务中心网站（http://www.czsfjzx.com/）</w:t>
      </w:r>
      <w:r>
        <w:rPr>
          <w:rFonts w:hint="eastAsia" w:ascii="宋体" w:hAnsi="宋体" w:eastAsia="宋体" w:cs="宋体"/>
          <w:color w:val="auto"/>
          <w:szCs w:val="21"/>
          <w:highlight w:val="none"/>
        </w:rPr>
        <w:t>公告</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结果</w:t>
      </w:r>
      <w:r>
        <w:rPr>
          <w:rFonts w:hint="eastAsia" w:ascii="宋体" w:hAnsi="宋体" w:eastAsia="宋体" w:cs="宋体"/>
          <w:color w:val="auto"/>
          <w:szCs w:val="21"/>
          <w:highlight w:val="none"/>
          <w:lang w:val="en-US" w:eastAsia="zh-CN"/>
        </w:rPr>
        <w:t>公告</w:t>
      </w:r>
      <w:r>
        <w:rPr>
          <w:rFonts w:hint="eastAsia" w:ascii="宋体" w:hAnsi="宋体" w:eastAsia="宋体" w:cs="宋体"/>
          <w:color w:val="auto"/>
          <w:szCs w:val="21"/>
          <w:highlight w:val="none"/>
        </w:rPr>
        <w:t>并同时向成交供应商发出</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w:t>
      </w:r>
    </w:p>
    <w:p>
      <w:pPr>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须加盖采购人、</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代理公司公章后，方可发出。</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7.2.3采购人将在发出</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的同时，向未通过资格审查的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告知其未通过的原因和其评审排序。</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591" w:name="_Toc144974537"/>
      <w:bookmarkStart w:id="592" w:name="_Toc152045569"/>
      <w:bookmarkStart w:id="593" w:name="_Toc179632587"/>
      <w:bookmarkStart w:id="594" w:name="_Toc15058892"/>
      <w:bookmarkStart w:id="595" w:name="_Toc152042345"/>
      <w:bookmarkStart w:id="596" w:name="_Toc324404854"/>
      <w:bookmarkStart w:id="597" w:name="_Toc18036"/>
      <w:bookmarkStart w:id="598" w:name="_Toc4411"/>
      <w:bookmarkStart w:id="599" w:name="_Toc19141"/>
      <w:bookmarkStart w:id="600" w:name="_Toc506107307"/>
      <w:bookmarkStart w:id="601" w:name="_Toc246996956"/>
      <w:bookmarkStart w:id="602" w:name="_Toc246996213"/>
      <w:bookmarkStart w:id="603" w:name="_Toc296602459"/>
      <w:bookmarkStart w:id="604" w:name="_Toc24586"/>
      <w:bookmarkStart w:id="605" w:name="_Toc247085727"/>
      <w:r>
        <w:rPr>
          <w:rFonts w:hint="eastAsia" w:ascii="宋体" w:hAnsi="宋体" w:eastAsia="宋体" w:cs="宋体"/>
          <w:color w:val="auto"/>
          <w:sz w:val="21"/>
          <w:szCs w:val="21"/>
          <w:highlight w:val="none"/>
        </w:rPr>
        <w:t>7.3履约担保</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7.3.1在签订合同前，成交供应商应按</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前附表规定的担保形式和谈判文件第四章“合同条款及格式”规定的或者事先经过</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书面认可的履约担保格式向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提交履约担保。履约担保金额的相关要求见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7.3.2 成交供应商不能按本章第7.3.1项要求提交履约担保的，视为放弃</w:t>
      </w:r>
      <w:r>
        <w:rPr>
          <w:rFonts w:hint="eastAsia" w:ascii="宋体" w:hAnsi="宋体" w:eastAsia="宋体" w:cs="宋体"/>
          <w:color w:val="auto"/>
          <w:szCs w:val="21"/>
          <w:highlight w:val="none"/>
          <w:lang w:val="en-US" w:eastAsia="zh-CN"/>
        </w:rPr>
        <w:t>成交资格</w:t>
      </w:r>
      <w:r>
        <w:rPr>
          <w:rFonts w:hint="eastAsia" w:ascii="宋体" w:hAnsi="宋体" w:eastAsia="宋体" w:cs="宋体"/>
          <w:color w:val="auto"/>
          <w:szCs w:val="21"/>
          <w:highlight w:val="none"/>
        </w:rPr>
        <w:t>，其谈判保证金不予退还，给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造成的损失超过谈判保证金数额的，成交供应商还应当对超过部分予以赔偿。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本条不采用</w:t>
      </w:r>
      <w:r>
        <w:rPr>
          <w:rFonts w:hint="eastAsia" w:ascii="宋体" w:hAnsi="宋体" w:eastAsia="宋体" w:cs="宋体"/>
          <w:color w:val="auto"/>
          <w:szCs w:val="21"/>
          <w:highlight w:val="none"/>
          <w:lang w:eastAsia="zh-CN"/>
        </w:rPr>
        <w:t>）</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606" w:name="_Toc246996214"/>
      <w:bookmarkStart w:id="607" w:name="_Toc179632588"/>
      <w:bookmarkStart w:id="608" w:name="_Toc247085728"/>
      <w:bookmarkStart w:id="609" w:name="_Toc15058893"/>
      <w:bookmarkStart w:id="610" w:name="_Toc324404855"/>
      <w:bookmarkStart w:id="611" w:name="_Toc1433"/>
      <w:bookmarkStart w:id="612" w:name="_Toc296602460"/>
      <w:bookmarkStart w:id="613" w:name="_Toc10955"/>
      <w:bookmarkStart w:id="614" w:name="_Toc506107308"/>
      <w:bookmarkStart w:id="615" w:name="_Toc152042346"/>
      <w:bookmarkStart w:id="616" w:name="_Toc8459"/>
      <w:bookmarkStart w:id="617" w:name="_Toc152045570"/>
      <w:bookmarkStart w:id="618" w:name="_Toc2357"/>
      <w:bookmarkStart w:id="619" w:name="_Toc246996957"/>
      <w:bookmarkStart w:id="620" w:name="_Toc144974538"/>
      <w:r>
        <w:rPr>
          <w:rFonts w:hint="eastAsia" w:ascii="宋体" w:hAnsi="宋体" w:eastAsia="宋体" w:cs="宋体"/>
          <w:color w:val="auto"/>
          <w:sz w:val="21"/>
          <w:szCs w:val="21"/>
          <w:highlight w:val="none"/>
        </w:rPr>
        <w:t>7.4 签订合同</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7.4.1本</w:t>
      </w:r>
      <w:r>
        <w:rPr>
          <w:rFonts w:hint="eastAsia" w:ascii="宋体" w:hAnsi="宋体" w:eastAsia="宋体" w:cs="宋体"/>
          <w:bCs/>
          <w:color w:val="auto"/>
          <w:szCs w:val="21"/>
          <w:highlight w:val="none"/>
          <w:lang w:val="en-US" w:eastAsia="zh-CN"/>
        </w:rPr>
        <w:t>项目合同</w:t>
      </w:r>
      <w:r>
        <w:rPr>
          <w:rFonts w:hint="eastAsia" w:ascii="宋体" w:hAnsi="宋体" w:eastAsia="宋体" w:cs="宋体"/>
          <w:bCs/>
          <w:color w:val="auto"/>
          <w:szCs w:val="21"/>
          <w:highlight w:val="none"/>
        </w:rPr>
        <w:t>将授予按本须知第7.1条规定所确定的成交供应商。</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bookmarkStart w:id="621" w:name="_Toc324404856"/>
      <w:r>
        <w:rPr>
          <w:rFonts w:hint="eastAsia" w:ascii="宋体" w:hAnsi="宋体" w:eastAsia="宋体" w:cs="宋体"/>
          <w:bCs/>
          <w:color w:val="auto"/>
          <w:szCs w:val="21"/>
          <w:highlight w:val="none"/>
        </w:rPr>
        <w:t>7.4.2</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和成交供应商应当自</w:t>
      </w:r>
      <w:r>
        <w:rPr>
          <w:rFonts w:hint="eastAsia" w:ascii="宋体" w:hAnsi="宋体" w:eastAsia="宋体" w:cs="宋体"/>
          <w:bCs/>
          <w:color w:val="auto"/>
          <w:szCs w:val="21"/>
          <w:highlight w:val="none"/>
          <w:lang w:eastAsia="zh-CN"/>
        </w:rPr>
        <w:t>成交通知书</w:t>
      </w:r>
      <w:r>
        <w:rPr>
          <w:rFonts w:hint="eastAsia" w:ascii="宋体" w:hAnsi="宋体" w:eastAsia="宋体" w:cs="宋体"/>
          <w:bCs/>
          <w:color w:val="auto"/>
          <w:szCs w:val="21"/>
          <w:highlight w:val="none"/>
        </w:rPr>
        <w:t>发出之日起</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lang w:eastAsia="zh-CN"/>
        </w:rPr>
        <w:t>个工作日</w:t>
      </w:r>
      <w:r>
        <w:rPr>
          <w:rFonts w:hint="eastAsia" w:ascii="宋体" w:hAnsi="宋体" w:eastAsia="宋体" w:cs="宋体"/>
          <w:bCs/>
          <w:color w:val="auto"/>
          <w:szCs w:val="21"/>
          <w:highlight w:val="none"/>
        </w:rPr>
        <w:t>内，根据谈判文件和成交供应商的响应文件订立书面合同。成交供应商无正当理由拒签合同的，</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取消其</w:t>
      </w:r>
      <w:r>
        <w:rPr>
          <w:rFonts w:hint="eastAsia" w:ascii="宋体" w:hAnsi="宋体" w:eastAsia="宋体" w:cs="宋体"/>
          <w:bCs/>
          <w:color w:val="auto"/>
          <w:szCs w:val="21"/>
          <w:highlight w:val="none"/>
          <w:lang w:eastAsia="zh-CN"/>
        </w:rPr>
        <w:t>成交资格</w:t>
      </w:r>
      <w:r>
        <w:rPr>
          <w:rFonts w:hint="eastAsia" w:ascii="宋体" w:hAnsi="宋体" w:eastAsia="宋体" w:cs="宋体"/>
          <w:bCs/>
          <w:color w:val="auto"/>
          <w:szCs w:val="21"/>
          <w:highlight w:val="none"/>
        </w:rPr>
        <w:t>，其谈判保证金不予退还；给</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造成的损失超过谈判保证金数额的，成交供应商还应当对超过部分予以赔偿。</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7.4.3 发出</w:t>
      </w:r>
      <w:r>
        <w:rPr>
          <w:rFonts w:hint="eastAsia" w:ascii="宋体" w:hAnsi="宋体" w:eastAsia="宋体" w:cs="宋体"/>
          <w:bCs/>
          <w:color w:val="auto"/>
          <w:szCs w:val="21"/>
          <w:highlight w:val="none"/>
          <w:lang w:eastAsia="zh-CN"/>
        </w:rPr>
        <w:t>成交通知书</w:t>
      </w:r>
      <w:r>
        <w:rPr>
          <w:rFonts w:hint="eastAsia" w:ascii="宋体" w:hAnsi="宋体" w:eastAsia="宋体" w:cs="宋体"/>
          <w:bCs/>
          <w:color w:val="auto"/>
          <w:szCs w:val="21"/>
          <w:highlight w:val="none"/>
        </w:rPr>
        <w:t>后，</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无正当理由拒签合同的，</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向成交供应商退还谈判保证金；给成交供应商造成损失的，还应当赔偿损失。</w:t>
      </w:r>
    </w:p>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622" w:name="_Toc29635"/>
      <w:bookmarkStart w:id="623" w:name="_Toc7550"/>
      <w:bookmarkStart w:id="624" w:name="_Toc25881"/>
      <w:bookmarkStart w:id="625" w:name="_Toc506107309"/>
      <w:bookmarkStart w:id="626" w:name="_Toc13946"/>
      <w:bookmarkStart w:id="627" w:name="_Toc40723429"/>
      <w:bookmarkStart w:id="628" w:name="_Toc16611"/>
      <w:bookmarkStart w:id="629" w:name="_Toc15058894"/>
      <w:bookmarkStart w:id="630" w:name="_Toc21147"/>
      <w:r>
        <w:rPr>
          <w:rFonts w:hint="eastAsia" w:ascii="宋体" w:hAnsi="宋体" w:eastAsia="宋体" w:cs="宋体"/>
          <w:color w:val="auto"/>
          <w:sz w:val="21"/>
          <w:szCs w:val="21"/>
          <w:highlight w:val="none"/>
        </w:rPr>
        <w:t>8. 纪律和监督</w:t>
      </w:r>
      <w:bookmarkEnd w:id="621"/>
      <w:bookmarkEnd w:id="622"/>
      <w:bookmarkEnd w:id="623"/>
      <w:bookmarkEnd w:id="624"/>
      <w:bookmarkEnd w:id="625"/>
      <w:bookmarkEnd w:id="626"/>
      <w:bookmarkEnd w:id="627"/>
      <w:bookmarkEnd w:id="628"/>
      <w:bookmarkEnd w:id="629"/>
      <w:bookmarkEnd w:id="630"/>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631" w:name="_Toc10771"/>
      <w:bookmarkStart w:id="632" w:name="_Toc179632593"/>
      <w:bookmarkStart w:id="633" w:name="_Toc324404857"/>
      <w:bookmarkStart w:id="634" w:name="_Toc152042351"/>
      <w:bookmarkStart w:id="635" w:name="_Toc506107310"/>
      <w:bookmarkStart w:id="636" w:name="_Toc15058895"/>
      <w:bookmarkStart w:id="637" w:name="_Toc152045575"/>
      <w:bookmarkStart w:id="638" w:name="_Toc246996962"/>
      <w:bookmarkStart w:id="639" w:name="_Toc296602462"/>
      <w:bookmarkStart w:id="640" w:name="_Toc6322"/>
      <w:bookmarkStart w:id="641" w:name="_Toc5016"/>
      <w:bookmarkStart w:id="642" w:name="_Toc246996219"/>
      <w:bookmarkStart w:id="643" w:name="_Toc247085733"/>
      <w:bookmarkStart w:id="644" w:name="_Toc144974543"/>
      <w:bookmarkStart w:id="645" w:name="_Toc817"/>
      <w:bookmarkStart w:id="646" w:name="_Toc296590983"/>
      <w:r>
        <w:rPr>
          <w:rFonts w:hint="eastAsia" w:ascii="宋体" w:hAnsi="宋体" w:eastAsia="宋体" w:cs="宋体"/>
          <w:color w:val="auto"/>
          <w:sz w:val="21"/>
          <w:szCs w:val="21"/>
          <w:highlight w:val="none"/>
        </w:rPr>
        <w:t>8.1 对</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人的纪律要求</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人不得泄漏</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活动中应当保密的情况和资料，不得与</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串通损害国家利益、社会公共利益或者他人合法权益。</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647" w:name="_Toc152042352"/>
      <w:bookmarkStart w:id="648" w:name="_Toc296602463"/>
      <w:bookmarkStart w:id="649" w:name="_Toc246996220"/>
      <w:bookmarkStart w:id="650" w:name="_Toc15058896"/>
      <w:bookmarkStart w:id="651" w:name="_Toc506107311"/>
      <w:bookmarkStart w:id="652" w:name="_Toc8174"/>
      <w:bookmarkStart w:id="653" w:name="_Toc246996963"/>
      <w:bookmarkStart w:id="654" w:name="_Toc152045576"/>
      <w:bookmarkStart w:id="655" w:name="_Toc324404858"/>
      <w:bookmarkStart w:id="656" w:name="_Toc144974544"/>
      <w:bookmarkStart w:id="657" w:name="_Toc13475"/>
      <w:bookmarkStart w:id="658" w:name="_Toc14824"/>
      <w:bookmarkStart w:id="659" w:name="_Toc3661"/>
      <w:bookmarkStart w:id="660" w:name="_Toc247085734"/>
      <w:bookmarkStart w:id="661" w:name="_Toc179632594"/>
      <w:r>
        <w:rPr>
          <w:rFonts w:hint="eastAsia" w:ascii="宋体" w:hAnsi="宋体" w:eastAsia="宋体" w:cs="宋体"/>
          <w:color w:val="auto"/>
          <w:sz w:val="21"/>
          <w:szCs w:val="21"/>
          <w:highlight w:val="none"/>
        </w:rPr>
        <w:t>8.2 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的纪律要求</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不得相互串通</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或者与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串通</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，不得向</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人或者谈判小组成员行贿谋取</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，不得以他人名义</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或者以其他方式弄虚作假骗取</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不得以任何方式干扰、影响评标工作。</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662" w:name="_Toc247085735"/>
      <w:bookmarkStart w:id="663" w:name="_Toc5258"/>
      <w:bookmarkStart w:id="664" w:name="_Toc246996221"/>
      <w:bookmarkStart w:id="665" w:name="_Toc152045577"/>
      <w:bookmarkStart w:id="666" w:name="_Toc246996964"/>
      <w:bookmarkStart w:id="667" w:name="_Toc30477"/>
      <w:bookmarkStart w:id="668" w:name="_Toc296602464"/>
      <w:bookmarkStart w:id="669" w:name="_Toc30609"/>
      <w:bookmarkStart w:id="670" w:name="_Toc15058897"/>
      <w:bookmarkStart w:id="671" w:name="_Toc506107312"/>
      <w:bookmarkStart w:id="672" w:name="_Toc144974545"/>
      <w:bookmarkStart w:id="673" w:name="_Toc179632595"/>
      <w:bookmarkStart w:id="674" w:name="_Toc152042353"/>
      <w:bookmarkStart w:id="675" w:name="_Toc23072"/>
      <w:bookmarkStart w:id="676" w:name="_Toc324404859"/>
      <w:r>
        <w:rPr>
          <w:rFonts w:hint="eastAsia" w:ascii="宋体" w:hAnsi="宋体" w:eastAsia="宋体" w:cs="宋体"/>
          <w:color w:val="auto"/>
          <w:sz w:val="21"/>
          <w:szCs w:val="21"/>
          <w:highlight w:val="none"/>
        </w:rPr>
        <w:t>8.3 对谈判小组成员的纪律要求</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谈判小组成员不得收受他人的财物或者其他好处，不得向他人透漏对响应文件的评审和比较、</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候选人的推荐情况以及评标有关的其他情况。在</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活动中，谈判小组成员应当客观、公正地履行职责，遵守职业道德，不得擅离职守，影响评标程序正常进行，不得使用第四章“评标办法”没有规定的评审因素和标准进行评标。</w:t>
      </w:r>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677" w:name="_Toc506107313"/>
      <w:bookmarkStart w:id="678" w:name="_Toc246996965"/>
      <w:bookmarkStart w:id="679" w:name="_Toc9933"/>
      <w:bookmarkStart w:id="680" w:name="_Toc246996222"/>
      <w:bookmarkStart w:id="681" w:name="_Toc296602465"/>
      <w:bookmarkStart w:id="682" w:name="_Toc22496"/>
      <w:bookmarkStart w:id="683" w:name="_Toc247085736"/>
      <w:bookmarkStart w:id="684" w:name="_Toc15058898"/>
      <w:bookmarkStart w:id="685" w:name="_Toc20626"/>
      <w:bookmarkStart w:id="686" w:name="_Toc179632596"/>
      <w:bookmarkStart w:id="687" w:name="_Toc324404860"/>
      <w:bookmarkStart w:id="688" w:name="_Toc1983"/>
      <w:bookmarkStart w:id="689" w:name="_Toc152045578"/>
      <w:bookmarkStart w:id="690" w:name="_Toc152042354"/>
      <w:bookmarkStart w:id="691" w:name="_Toc144974546"/>
      <w:r>
        <w:rPr>
          <w:rFonts w:hint="eastAsia" w:ascii="宋体" w:hAnsi="宋体" w:eastAsia="宋体" w:cs="宋体"/>
          <w:color w:val="auto"/>
          <w:sz w:val="21"/>
          <w:szCs w:val="21"/>
          <w:highlight w:val="none"/>
        </w:rPr>
        <w:t>8.4 对与评标活动有关的工作人员的纪律要求</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bookmarkStart w:id="692" w:name="_Toc152042355"/>
      <w:r>
        <w:rPr>
          <w:rFonts w:hint="eastAsia" w:ascii="宋体" w:hAnsi="宋体" w:eastAsia="宋体" w:cs="宋体"/>
          <w:color w:val="auto"/>
          <w:szCs w:val="21"/>
          <w:highlight w:val="none"/>
        </w:rPr>
        <w:t>与评标活动有关的工作人员不得收受他人的财物或者其他好处，不得向他人透漏对响应文件的评审和比较、</w:t>
      </w:r>
      <w:r>
        <w:rPr>
          <w:rFonts w:hint="eastAsia" w:ascii="宋体" w:hAnsi="宋体" w:eastAsia="宋体" w:cs="宋体"/>
          <w:color w:val="auto"/>
          <w:szCs w:val="21"/>
          <w:highlight w:val="none"/>
          <w:lang w:eastAsia="zh-CN"/>
        </w:rPr>
        <w:t>成交候选供应商</w:t>
      </w:r>
      <w:r>
        <w:rPr>
          <w:rFonts w:hint="eastAsia" w:ascii="宋体" w:hAnsi="宋体" w:eastAsia="宋体" w:cs="宋体"/>
          <w:color w:val="auto"/>
          <w:szCs w:val="21"/>
          <w:highlight w:val="none"/>
        </w:rPr>
        <w:t>的推荐情况以及评标有关的其他情况。在评标活动中，与评标活动有关的工作人员不得擅离职守，影响评标程序正常进行。</w:t>
      </w:r>
      <w:bookmarkEnd w:id="692"/>
    </w:p>
    <w:p>
      <w:pPr>
        <w:pStyle w:val="9"/>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693" w:name="_Toc296602466"/>
      <w:bookmarkStart w:id="694" w:name="_Toc152045579"/>
      <w:bookmarkStart w:id="695" w:name="_Toc506107314"/>
      <w:bookmarkStart w:id="696" w:name="_Toc236"/>
      <w:bookmarkStart w:id="697" w:name="_Toc246996966"/>
      <w:bookmarkStart w:id="698" w:name="_Toc246996223"/>
      <w:bookmarkStart w:id="699" w:name="_Toc152042356"/>
      <w:bookmarkStart w:id="700" w:name="_Toc324404861"/>
      <w:bookmarkStart w:id="701" w:name="_Toc247085737"/>
      <w:bookmarkStart w:id="702" w:name="_Toc4451"/>
      <w:bookmarkStart w:id="703" w:name="_Toc25709"/>
      <w:bookmarkStart w:id="704" w:name="_Toc13352"/>
      <w:bookmarkStart w:id="705" w:name="_Toc179632597"/>
      <w:bookmarkStart w:id="706" w:name="_Toc15058899"/>
      <w:r>
        <w:rPr>
          <w:rFonts w:hint="eastAsia" w:ascii="宋体" w:hAnsi="宋体" w:eastAsia="宋体" w:cs="宋体"/>
          <w:color w:val="auto"/>
          <w:sz w:val="21"/>
          <w:szCs w:val="21"/>
          <w:highlight w:val="none"/>
        </w:rPr>
        <w:t>8.5 投诉</w:t>
      </w:r>
      <w:bookmarkEnd w:id="691"/>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和其他利害关系人认为本次</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活动违反法律、法规和规章规定的，有权向有关行政监督部门投诉。投诉应当有明确的请求和必要的证明材料。</w:t>
      </w:r>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和其他利害关系人对评标结果等事项投诉的，应当在</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期间或</w:t>
      </w:r>
      <w:r>
        <w:rPr>
          <w:rFonts w:hint="eastAsia" w:ascii="宋体" w:hAnsi="宋体" w:eastAsia="宋体" w:cs="宋体"/>
          <w:color w:val="auto"/>
          <w:szCs w:val="21"/>
          <w:highlight w:val="none"/>
          <w:lang w:eastAsia="zh-CN"/>
        </w:rPr>
        <w:t>成交候选供应商</w:t>
      </w:r>
      <w:r>
        <w:rPr>
          <w:rFonts w:hint="eastAsia" w:ascii="宋体" w:hAnsi="宋体" w:eastAsia="宋体" w:cs="宋体"/>
          <w:color w:val="auto"/>
          <w:szCs w:val="21"/>
          <w:highlight w:val="none"/>
        </w:rPr>
        <w:t>公示期间，先向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提出异议。</w:t>
      </w:r>
    </w:p>
    <w:p>
      <w:pPr>
        <w:pStyle w:val="7"/>
        <w:widowControl w:val="0"/>
        <w:kinsoku/>
        <w:wordWrap/>
        <w:overflowPunct/>
        <w:topLinePunct w:val="0"/>
        <w:autoSpaceDE/>
        <w:autoSpaceDN/>
        <w:bidi w:val="0"/>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707" w:name="_Toc152045580"/>
      <w:bookmarkStart w:id="708" w:name="_Toc6162"/>
      <w:bookmarkStart w:id="709" w:name="_Toc246996967"/>
      <w:bookmarkStart w:id="710" w:name="_Toc506107315"/>
      <w:bookmarkStart w:id="711" w:name="_Toc8235"/>
      <w:bookmarkStart w:id="712" w:name="_Toc29023"/>
      <w:bookmarkStart w:id="713" w:name="_Toc15058900"/>
      <w:bookmarkStart w:id="714" w:name="_Toc152042357"/>
      <w:bookmarkStart w:id="715" w:name="_Toc324404862"/>
      <w:bookmarkStart w:id="716" w:name="_Toc5618"/>
      <w:bookmarkStart w:id="717" w:name="_Toc40723430"/>
      <w:bookmarkStart w:id="718" w:name="_Toc246996224"/>
      <w:bookmarkStart w:id="719" w:name="_Toc247085738"/>
      <w:bookmarkStart w:id="720" w:name="_Toc11260"/>
      <w:bookmarkStart w:id="721" w:name="_Toc29814"/>
      <w:bookmarkStart w:id="722" w:name="_Toc144974547"/>
      <w:bookmarkStart w:id="723" w:name="_Toc179632598"/>
      <w:r>
        <w:rPr>
          <w:rFonts w:hint="eastAsia" w:ascii="宋体" w:hAnsi="宋体" w:eastAsia="宋体" w:cs="宋体"/>
          <w:color w:val="auto"/>
          <w:sz w:val="21"/>
          <w:szCs w:val="21"/>
          <w:highlight w:val="none"/>
        </w:rPr>
        <w:t>9.需要补充的其他内容</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bookmarkStart w:id="724" w:name="_Toc15058901"/>
      <w:bookmarkStart w:id="725" w:name="_Toc6824"/>
      <w:bookmarkStart w:id="726" w:name="_Toc14142"/>
      <w:bookmarkStart w:id="727" w:name="_Toc28720"/>
      <w:bookmarkStart w:id="728" w:name="_Toc29628"/>
      <w:bookmarkStart w:id="729" w:name="_Toc4213"/>
      <w:r>
        <w:rPr>
          <w:rFonts w:hint="eastAsia" w:ascii="宋体" w:hAnsi="宋体" w:eastAsia="宋体" w:cs="宋体"/>
          <w:color w:val="auto"/>
          <w:szCs w:val="21"/>
          <w:highlight w:val="none"/>
        </w:rPr>
        <w:t>需要补充的其他内容：见</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w:t>
      </w:r>
      <w:bookmarkEnd w:id="724"/>
      <w:bookmarkEnd w:id="725"/>
      <w:bookmarkEnd w:id="726"/>
      <w:bookmarkEnd w:id="727"/>
      <w:bookmarkEnd w:id="728"/>
      <w:bookmarkEnd w:id="729"/>
    </w:p>
    <w:p>
      <w:pPr>
        <w:keepNext w:val="0"/>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hint="eastAsia" w:ascii="宋体" w:hAnsi="宋体" w:cs="宋体"/>
          <w:b/>
          <w:bCs/>
          <w:color w:val="auto"/>
          <w:sz w:val="32"/>
          <w:szCs w:val="32"/>
          <w:highlight w:val="none"/>
        </w:rPr>
      </w:pPr>
      <w:bookmarkStart w:id="730" w:name="_Toc324404864"/>
      <w:bookmarkStart w:id="731" w:name="_Toc20948"/>
      <w:bookmarkStart w:id="732" w:name="_Toc21805"/>
      <w:bookmarkStart w:id="733" w:name="_Toc506107317"/>
      <w:bookmarkStart w:id="734" w:name="_Toc18311"/>
      <w:bookmarkStart w:id="735" w:name="_Toc14923"/>
      <w:bookmarkStart w:id="736" w:name="_Toc21491"/>
      <w:bookmarkStart w:id="737" w:name="_Toc15058902"/>
      <w:bookmarkStart w:id="738" w:name="_Toc40723432"/>
      <w:bookmarkStart w:id="739" w:name="_Toc31968"/>
      <w:bookmarkStart w:id="740" w:name="_Toc296602475"/>
      <w:r>
        <w:rPr>
          <w:rFonts w:hint="eastAsia" w:ascii="宋体" w:hAnsi="宋体" w:cs="宋体"/>
          <w:b/>
          <w:bCs/>
          <w:color w:val="auto"/>
          <w:sz w:val="32"/>
          <w:szCs w:val="32"/>
          <w:highlight w:val="none"/>
        </w:rPr>
        <w:t>第三章 资格审查</w:t>
      </w:r>
      <w:bookmarkEnd w:id="730"/>
      <w:r>
        <w:rPr>
          <w:rFonts w:hint="eastAsia" w:ascii="宋体" w:hAnsi="宋体" w:cs="宋体"/>
          <w:b/>
          <w:bCs/>
          <w:color w:val="auto"/>
          <w:sz w:val="32"/>
          <w:szCs w:val="32"/>
          <w:highlight w:val="none"/>
        </w:rPr>
        <w:t>办法</w:t>
      </w:r>
      <w:bookmarkEnd w:id="731"/>
      <w:bookmarkEnd w:id="732"/>
      <w:bookmarkEnd w:id="733"/>
      <w:bookmarkEnd w:id="734"/>
      <w:bookmarkEnd w:id="735"/>
      <w:bookmarkEnd w:id="736"/>
      <w:bookmarkEnd w:id="737"/>
      <w:bookmarkEnd w:id="738"/>
      <w:bookmarkEnd w:id="739"/>
    </w:p>
    <w:p>
      <w:pPr>
        <w:pStyle w:val="7"/>
        <w:spacing w:before="156" w:beforeLines="50" w:after="156" w:afterLines="50" w:line="440" w:lineRule="exact"/>
        <w:jc w:val="center"/>
        <w:rPr>
          <w:rFonts w:hint="eastAsia" w:ascii="宋体" w:hAnsi="宋体" w:eastAsia="宋体" w:cs="宋体"/>
          <w:color w:val="auto"/>
          <w:sz w:val="28"/>
          <w:szCs w:val="28"/>
          <w:highlight w:val="none"/>
        </w:rPr>
      </w:pPr>
      <w:bookmarkStart w:id="741" w:name="_Toc19386"/>
      <w:bookmarkStart w:id="742" w:name="_Toc6396"/>
      <w:bookmarkStart w:id="743" w:name="_Toc26335"/>
      <w:bookmarkStart w:id="744" w:name="_Toc324404865"/>
      <w:bookmarkStart w:id="745" w:name="_Toc506107318"/>
      <w:bookmarkStart w:id="746" w:name="_Toc4882"/>
      <w:bookmarkStart w:id="747" w:name="_Toc40723433"/>
      <w:bookmarkStart w:id="748" w:name="_Toc30985"/>
      <w:bookmarkStart w:id="749" w:name="_Toc15058903"/>
      <w:bookmarkStart w:id="750" w:name="_Toc24933"/>
      <w:r>
        <w:rPr>
          <w:rFonts w:hint="eastAsia" w:ascii="宋体" w:hAnsi="宋体" w:eastAsia="宋体" w:cs="宋体"/>
          <w:color w:val="auto"/>
          <w:sz w:val="28"/>
          <w:szCs w:val="28"/>
          <w:highlight w:val="none"/>
        </w:rPr>
        <w:t>资格审查办法前附表</w:t>
      </w:r>
      <w:bookmarkEnd w:id="741"/>
      <w:bookmarkEnd w:id="742"/>
      <w:bookmarkEnd w:id="743"/>
      <w:bookmarkEnd w:id="744"/>
      <w:bookmarkEnd w:id="745"/>
      <w:bookmarkEnd w:id="746"/>
      <w:bookmarkEnd w:id="747"/>
      <w:bookmarkEnd w:id="748"/>
      <w:bookmarkEnd w:id="749"/>
      <w:bookmarkEnd w:id="750"/>
    </w:p>
    <w:p>
      <w:pPr>
        <w:jc w:val="center"/>
        <w:rPr>
          <w:rFonts w:hint="eastAsia" w:ascii="宋体" w:hAnsi="宋体" w:cs="宋体"/>
          <w:color w:val="auto"/>
          <w:highlight w:val="none"/>
        </w:rPr>
      </w:pPr>
      <w:r>
        <w:rPr>
          <w:rFonts w:hint="eastAsia" w:ascii="宋体" w:hAnsi="宋体" w:cs="宋体"/>
          <w:color w:val="auto"/>
          <w:highlight w:val="none"/>
        </w:rPr>
        <w:t>资信证明文件评审</w:t>
      </w:r>
    </w:p>
    <w:tbl>
      <w:tblPr>
        <w:tblStyle w:val="23"/>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084"/>
        <w:gridCol w:w="4324"/>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863"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黑体" w:hAnsi="黑体" w:eastAsia="黑体" w:cs="黑体"/>
                <w:b/>
                <w:bCs/>
                <w:color w:val="auto"/>
                <w:sz w:val="21"/>
                <w:szCs w:val="21"/>
                <w:highlight w:val="none"/>
              </w:rPr>
            </w:pPr>
            <w:bookmarkStart w:id="751" w:name="_Toc8678"/>
            <w:bookmarkStart w:id="752" w:name="_Toc15058904"/>
            <w:bookmarkStart w:id="753" w:name="_Toc20999"/>
            <w:bookmarkStart w:id="754" w:name="_Toc22510"/>
            <w:bookmarkStart w:id="755" w:name="_Toc11634"/>
            <w:bookmarkStart w:id="756" w:name="_Toc506107319"/>
            <w:bookmarkStart w:id="757" w:name="_Toc6843"/>
            <w:bookmarkStart w:id="758" w:name="_Toc28572"/>
            <w:bookmarkStart w:id="759" w:name="_Toc324404866"/>
            <w:bookmarkStart w:id="760" w:name="_Toc40723434"/>
            <w:r>
              <w:rPr>
                <w:rFonts w:hint="eastAsia" w:ascii="黑体" w:hAnsi="黑体" w:eastAsia="黑体" w:cs="黑体"/>
                <w:b/>
                <w:bCs/>
                <w:color w:val="auto"/>
                <w:sz w:val="21"/>
                <w:szCs w:val="21"/>
                <w:highlight w:val="none"/>
              </w:rPr>
              <w:t>序号</w:t>
            </w:r>
          </w:p>
        </w:tc>
        <w:tc>
          <w:tcPr>
            <w:tcW w:w="5408" w:type="dxa"/>
            <w:gridSpan w:val="2"/>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评审因素</w:t>
            </w:r>
          </w:p>
        </w:tc>
        <w:tc>
          <w:tcPr>
            <w:tcW w:w="4094"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3" w:type="dxa"/>
            <w:vMerge w:val="restart"/>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4" w:type="dxa"/>
            <w:vMerge w:val="restart"/>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重要要求</w:t>
            </w:r>
          </w:p>
        </w:tc>
        <w:tc>
          <w:tcPr>
            <w:tcW w:w="4324" w:type="dxa"/>
            <w:noWrap w:val="0"/>
            <w:vAlign w:val="top"/>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（1）法定代表人身份证明和法定代表人有效身份证（或法定代表人授权委托书及委托代理人有效身份证）</w:t>
            </w:r>
          </w:p>
        </w:tc>
        <w:tc>
          <w:tcPr>
            <w:tcW w:w="4094"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（复印件须加盖单位公章）</w:t>
            </w:r>
            <w:r>
              <w:rPr>
                <w:rFonts w:hint="eastAsia" w:ascii="宋体" w:hAnsi="宋体" w:eastAsia="宋体" w:cs="宋体"/>
                <w:color w:val="auto"/>
                <w:sz w:val="21"/>
                <w:szCs w:val="21"/>
                <w:highlight w:val="none"/>
                <w:lang w:eastAsia="zh-CN"/>
              </w:rPr>
              <w:t>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63" w:type="dxa"/>
            <w:vMerge w:val="continue"/>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p>
        </w:tc>
        <w:tc>
          <w:tcPr>
            <w:tcW w:w="1084" w:type="dxa"/>
            <w:vMerge w:val="continue"/>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p>
        </w:tc>
        <w:tc>
          <w:tcPr>
            <w:tcW w:w="4324"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（2）保证金缴纳情况</w:t>
            </w:r>
          </w:p>
        </w:tc>
        <w:tc>
          <w:tcPr>
            <w:tcW w:w="4094"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Merge w:val="restart"/>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4" w:type="dxa"/>
            <w:vMerge w:val="restart"/>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投标人应符合的基本资格条件</w:t>
            </w:r>
          </w:p>
        </w:tc>
        <w:tc>
          <w:tcPr>
            <w:tcW w:w="4324"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）具有承担民事责任的能力</w:t>
            </w:r>
          </w:p>
        </w:tc>
        <w:tc>
          <w:tcPr>
            <w:tcW w:w="4094"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评审核验标书中的下列证书、证明材料：</w:t>
            </w:r>
          </w:p>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（1）投标人为企业（包括合伙企业）的，应提供有效的营业执照；</w:t>
            </w:r>
          </w:p>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eastAsia="宋体"/>
                <w:highlight w:val="none"/>
                <w:lang w:eastAsia="zh-CN"/>
              </w:rPr>
            </w:pPr>
            <w:r>
              <w:rPr>
                <w:rFonts w:hint="eastAsia" w:ascii="宋体" w:hAnsi="宋体" w:eastAsia="宋体" w:cs="宋体"/>
                <w:color w:val="auto"/>
                <w:sz w:val="21"/>
                <w:szCs w:val="21"/>
                <w:highlight w:val="none"/>
              </w:rPr>
              <w:t>（2）投标人为事业单位的，应提供有效的事业单位法人证书；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63" w:type="dxa"/>
            <w:vMerge w:val="continue"/>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p>
        </w:tc>
        <w:tc>
          <w:tcPr>
            <w:tcW w:w="1084" w:type="dxa"/>
            <w:vMerge w:val="continue"/>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lang w:val="zh-CN"/>
              </w:rPr>
            </w:pPr>
          </w:p>
        </w:tc>
        <w:tc>
          <w:tcPr>
            <w:tcW w:w="4324"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）参加政府采购活动近三年内，在经营活动中没有重大违法记录</w:t>
            </w:r>
          </w:p>
        </w:tc>
        <w:tc>
          <w:tcPr>
            <w:tcW w:w="4094"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参加本项目前三年内无重大违法记录声明（格式自拟）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核验标书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63" w:type="dxa"/>
            <w:vMerge w:val="continue"/>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p>
        </w:tc>
        <w:tc>
          <w:tcPr>
            <w:tcW w:w="1084" w:type="dxa"/>
            <w:vMerge w:val="continue"/>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baseline"/>
              <w:rPr>
                <w:rFonts w:hint="eastAsia" w:ascii="宋体" w:hAnsi="宋体" w:eastAsia="宋体" w:cs="宋体"/>
                <w:color w:val="auto"/>
                <w:sz w:val="21"/>
                <w:szCs w:val="21"/>
                <w:highlight w:val="none"/>
                <w:lang w:val="zh-CN"/>
              </w:rPr>
            </w:pPr>
          </w:p>
        </w:tc>
        <w:tc>
          <w:tcPr>
            <w:tcW w:w="4324" w:type="dxa"/>
            <w:noWrap w:val="0"/>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诚信投标承诺书 </w:t>
            </w:r>
          </w:p>
        </w:tc>
        <w:tc>
          <w:tcPr>
            <w:tcW w:w="4094" w:type="dxa"/>
            <w:noWrap w:val="0"/>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诚信投标承诺书（格式见附件）</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核验标书</w:t>
            </w:r>
            <w:r>
              <w:rPr>
                <w:rFonts w:hint="eastAsia" w:ascii="宋体" w:hAnsi="宋体" w:eastAsia="宋体" w:cs="宋体"/>
                <w:bCs/>
                <w:color w:val="auto"/>
                <w:sz w:val="21"/>
                <w:szCs w:val="21"/>
                <w:highlight w:val="none"/>
              </w:rPr>
              <w:t> </w:t>
            </w:r>
          </w:p>
        </w:tc>
      </w:tr>
    </w:tbl>
    <w:p>
      <w:pPr>
        <w:pStyle w:val="7"/>
        <w:pageBreakBefore w:val="0"/>
        <w:widowControl w:val="0"/>
        <w:kinsoku/>
        <w:wordWrap/>
        <w:overflowPunct/>
        <w:topLinePunct w:val="0"/>
        <w:autoSpaceDE/>
        <w:autoSpaceDN/>
        <w:bidi w:val="0"/>
        <w:adjustRightInd/>
        <w:snapToGrid/>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1.审查资料</w:t>
      </w:r>
      <w:bookmarkEnd w:id="751"/>
      <w:bookmarkEnd w:id="752"/>
      <w:bookmarkEnd w:id="753"/>
      <w:bookmarkEnd w:id="754"/>
      <w:bookmarkEnd w:id="755"/>
      <w:bookmarkEnd w:id="756"/>
      <w:bookmarkEnd w:id="757"/>
      <w:bookmarkEnd w:id="758"/>
      <w:bookmarkEnd w:id="759"/>
      <w:bookmarkEnd w:id="760"/>
      <w:r>
        <w:rPr>
          <w:rFonts w:hint="eastAsia" w:ascii="宋体" w:hAnsi="宋体" w:eastAsia="宋体" w:cs="宋体"/>
          <w:color w:val="auto"/>
          <w:sz w:val="21"/>
          <w:szCs w:val="21"/>
          <w:highlight w:val="none"/>
        </w:rPr>
        <w:t>（复印件须加盖单位公章）</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bookmarkStart w:id="761" w:name="_Toc26001"/>
      <w:bookmarkStart w:id="762" w:name="_Toc21724"/>
      <w:bookmarkStart w:id="763" w:name="_Toc15058905"/>
      <w:bookmarkStart w:id="764" w:name="_Toc29755"/>
      <w:bookmarkStart w:id="765" w:name="_Toc40723435"/>
      <w:bookmarkStart w:id="766" w:name="_Toc11049"/>
      <w:bookmarkStart w:id="767" w:name="_Toc18729"/>
      <w:bookmarkStart w:id="768" w:name="_Toc14597"/>
      <w:bookmarkStart w:id="769" w:name="_Toc324404867"/>
      <w:r>
        <w:rPr>
          <w:rFonts w:hint="eastAsia" w:ascii="宋体" w:hAnsi="宋体" w:cs="宋体"/>
          <w:color w:val="auto"/>
          <w:szCs w:val="21"/>
          <w:highlight w:val="none"/>
        </w:rPr>
        <w:t>（1</w:t>
      </w:r>
      <w:bookmarkStart w:id="770" w:name="_Toc6519"/>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法定代表人身份证明</w:t>
      </w:r>
      <w:r>
        <w:rPr>
          <w:rFonts w:hint="eastAsia" w:ascii="宋体" w:hAnsi="宋体" w:cs="宋体"/>
          <w:color w:val="auto"/>
          <w:szCs w:val="21"/>
          <w:highlight w:val="none"/>
          <w:lang w:val="en-US" w:eastAsia="zh-CN"/>
        </w:rPr>
        <w:t>文件</w:t>
      </w:r>
      <w:r>
        <w:rPr>
          <w:rFonts w:hint="eastAsia" w:ascii="宋体" w:hAnsi="宋体" w:eastAsia="宋体" w:cs="宋体"/>
          <w:color w:val="auto"/>
          <w:szCs w:val="21"/>
          <w:highlight w:val="none"/>
        </w:rPr>
        <w:t>和本人</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rPr>
        <w:t>身份证(或法定代表人授权委托书和委托代理人</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rPr>
        <w:t>身份证)；</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投标人具有承担民事责任的能力</w:t>
      </w:r>
      <w:r>
        <w:rPr>
          <w:rFonts w:hint="eastAsia" w:ascii="宋体" w:hAnsi="宋体" w:cs="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bookmarkEnd w:id="761"/>
      <w:bookmarkEnd w:id="762"/>
      <w:bookmarkEnd w:id="763"/>
      <w:bookmarkEnd w:id="764"/>
      <w:bookmarkEnd w:id="765"/>
      <w:bookmarkEnd w:id="766"/>
      <w:bookmarkEnd w:id="767"/>
      <w:bookmarkEnd w:id="768"/>
      <w:bookmarkEnd w:id="770"/>
      <w:bookmarkStart w:id="771" w:name="_Toc506107320"/>
      <w:bookmarkStart w:id="772" w:name="_Toc15058909"/>
      <w:r>
        <w:rPr>
          <w:rFonts w:hint="eastAsia" w:ascii="宋体" w:hAnsi="宋体" w:eastAsia="宋体" w:cs="宋体"/>
          <w:color w:val="auto"/>
          <w:sz w:val="21"/>
          <w:szCs w:val="21"/>
          <w:highlight w:val="none"/>
        </w:rPr>
        <w:t>参加本项目前三年内无重大违法记录声明（格式自拟）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核验标书</w:t>
      </w:r>
      <w:r>
        <w:rPr>
          <w:rFonts w:hint="eastAsia" w:ascii="宋体" w:hAnsi="宋体" w:cs="宋体"/>
          <w:color w:val="auto"/>
          <w:sz w:val="21"/>
          <w:szCs w:val="21"/>
          <w:highlight w:val="none"/>
          <w:lang w:eastAsia="zh-CN"/>
        </w:rPr>
        <w:t>；</w:t>
      </w:r>
    </w:p>
    <w:p>
      <w:pPr>
        <w:pageBreakBefore w:val="0"/>
        <w:kinsoku/>
        <w:wordWrap/>
        <w:overflowPunct/>
        <w:topLinePunct w:val="0"/>
        <w:autoSpaceDE/>
        <w:autoSpaceDN/>
        <w:bidi w:val="0"/>
        <w:adjustRightInd/>
        <w:snapToGrid/>
        <w:spacing w:line="440" w:lineRule="exact"/>
        <w:ind w:firstLine="420" w:firstLineChars="200"/>
        <w:rPr>
          <w:rFonts w:hint="eastAsia" w:eastAsia="宋体"/>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eastAsia="宋体" w:cs="宋体"/>
          <w:bCs/>
          <w:color w:val="auto"/>
          <w:sz w:val="21"/>
          <w:szCs w:val="21"/>
          <w:highlight w:val="none"/>
        </w:rPr>
        <w:t>诚信投标承诺书（格式见附件）</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核验标书</w:t>
      </w:r>
      <w:r>
        <w:rPr>
          <w:rFonts w:hint="eastAsia" w:ascii="宋体" w:hAnsi="宋体" w:cs="宋体"/>
          <w:color w:val="auto"/>
          <w:sz w:val="21"/>
          <w:szCs w:val="21"/>
          <w:highlight w:val="none"/>
          <w:lang w:eastAsia="zh-CN"/>
        </w:rPr>
        <w:t>；</w:t>
      </w:r>
    </w:p>
    <w:p>
      <w:pPr>
        <w:pStyle w:val="7"/>
        <w:pageBreakBefore w:val="0"/>
        <w:widowControl w:val="0"/>
        <w:kinsoku/>
        <w:wordWrap/>
        <w:overflowPunct/>
        <w:topLinePunct w:val="0"/>
        <w:autoSpaceDE/>
        <w:autoSpaceDN/>
        <w:bidi w:val="0"/>
        <w:adjustRightInd/>
        <w:snapToGrid/>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773" w:name="_Toc40723438"/>
      <w:bookmarkStart w:id="774" w:name="_Toc8578"/>
      <w:bookmarkStart w:id="775" w:name="_Toc9413"/>
      <w:bookmarkStart w:id="776" w:name="_Toc32669"/>
      <w:bookmarkStart w:id="777" w:name="_Toc18716"/>
      <w:bookmarkStart w:id="778" w:name="_Toc7864"/>
      <w:bookmarkStart w:id="779" w:name="_Toc10275"/>
      <w:r>
        <w:rPr>
          <w:rFonts w:hint="eastAsia" w:ascii="宋体" w:hAnsi="宋体" w:eastAsia="宋体" w:cs="宋体"/>
          <w:color w:val="auto"/>
          <w:sz w:val="21"/>
          <w:szCs w:val="21"/>
          <w:highlight w:val="none"/>
        </w:rPr>
        <w:t>温馨提示：</w:t>
      </w:r>
    </w:p>
    <w:p>
      <w:pPr>
        <w:pStyle w:val="7"/>
        <w:pageBreakBefore w:val="0"/>
        <w:widowControl w:val="0"/>
        <w:kinsoku/>
        <w:wordWrap/>
        <w:overflowPunct/>
        <w:topLinePunct w:val="0"/>
        <w:autoSpaceDE/>
        <w:autoSpaceDN/>
        <w:bidi w:val="0"/>
        <w:adjustRightInd/>
        <w:snapToGrid/>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（1）请投标人认真准备响应文件资格审查资料,如果由于投标人自身原因导致材料不全或复印件不清楚等造成无法确认以上相关资料的，视为无效标处理。</w:t>
      </w:r>
    </w:p>
    <w:p>
      <w:pPr>
        <w:pStyle w:val="7"/>
        <w:pageBreakBefore w:val="0"/>
        <w:widowControl w:val="0"/>
        <w:kinsoku/>
        <w:wordWrap/>
        <w:overflowPunct/>
        <w:topLinePunct w:val="0"/>
        <w:autoSpaceDE/>
        <w:autoSpaceDN/>
        <w:bidi w:val="0"/>
        <w:adjustRightInd/>
        <w:snapToGrid/>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2.审查办法</w:t>
      </w:r>
      <w:bookmarkEnd w:id="769"/>
      <w:bookmarkEnd w:id="771"/>
      <w:bookmarkEnd w:id="772"/>
      <w:bookmarkEnd w:id="773"/>
      <w:bookmarkEnd w:id="774"/>
      <w:bookmarkEnd w:id="775"/>
      <w:bookmarkEnd w:id="776"/>
      <w:bookmarkEnd w:id="777"/>
      <w:bookmarkEnd w:id="778"/>
      <w:bookmarkEnd w:id="779"/>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1、由资格审查委员会（谈判小组）按资格审查办法前附表中资格审查必要合格条件评审表要求对</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审查资料进行核验。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有下列情形之一的，其资格审查为不合格：</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cs="宋体"/>
          <w:b w:val="0"/>
          <w:bCs/>
          <w:color w:val="auto"/>
          <w:szCs w:val="21"/>
          <w:highlight w:val="none"/>
        </w:rPr>
      </w:pPr>
      <w:bookmarkStart w:id="780" w:name="_Toc324404868"/>
      <w:bookmarkStart w:id="781" w:name="_Toc19052"/>
      <w:bookmarkStart w:id="782" w:name="_Toc506107321"/>
      <w:bookmarkStart w:id="783" w:name="_Toc15327"/>
      <w:bookmarkStart w:id="784" w:name="_Toc15058910"/>
      <w:bookmarkStart w:id="785" w:name="_Toc1802"/>
      <w:bookmarkStart w:id="786" w:name="_Toc14387"/>
      <w:bookmarkStart w:id="787" w:name="_Toc5424"/>
      <w:bookmarkStart w:id="788" w:name="_Toc4816"/>
      <w:bookmarkStart w:id="789" w:name="_Toc40723439"/>
      <w:r>
        <w:rPr>
          <w:rFonts w:hint="eastAsia" w:ascii="宋体" w:hAnsi="宋体" w:cs="宋体"/>
          <w:b w:val="0"/>
          <w:bCs/>
          <w:color w:val="auto"/>
          <w:szCs w:val="21"/>
          <w:highlight w:val="none"/>
        </w:rPr>
        <w:t>（</w:t>
      </w:r>
      <w:r>
        <w:rPr>
          <w:rFonts w:ascii="宋体" w:hAnsi="宋体" w:cs="宋体"/>
          <w:b w:val="0"/>
          <w:bCs/>
          <w:color w:val="auto"/>
          <w:szCs w:val="21"/>
          <w:highlight w:val="none"/>
        </w:rPr>
        <w:t>1</w:t>
      </w:r>
      <w:r>
        <w:rPr>
          <w:rFonts w:hint="eastAsia" w:ascii="宋体" w:hAnsi="宋体" w:cs="宋体"/>
          <w:b w:val="0"/>
          <w:bCs/>
          <w:color w:val="auto"/>
          <w:szCs w:val="21"/>
          <w:highlight w:val="none"/>
        </w:rPr>
        <w:t>）未</w:t>
      </w:r>
      <w:r>
        <w:rPr>
          <w:rFonts w:hint="eastAsia" w:ascii="宋体" w:hAnsi="宋体" w:cs="宋体"/>
          <w:b w:val="0"/>
          <w:bCs/>
          <w:color w:val="auto"/>
          <w:szCs w:val="21"/>
          <w:highlight w:val="none"/>
          <w:lang w:val="en-US" w:eastAsia="zh-CN"/>
        </w:rPr>
        <w:t>递交</w:t>
      </w:r>
      <w:r>
        <w:rPr>
          <w:rFonts w:hint="eastAsia" w:ascii="宋体" w:hAnsi="宋体" w:cs="宋体"/>
          <w:b w:val="0"/>
          <w:bCs/>
          <w:color w:val="auto"/>
          <w:szCs w:val="21"/>
          <w:highlight w:val="none"/>
        </w:rPr>
        <w:t>标书或标书经审查不合格；</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2</w:t>
      </w:r>
      <w:r>
        <w:rPr>
          <w:rFonts w:hint="eastAsia" w:ascii="宋体" w:hAnsi="宋体" w:cs="宋体"/>
          <w:b w:val="0"/>
          <w:bCs/>
          <w:color w:val="auto"/>
          <w:szCs w:val="21"/>
          <w:highlight w:val="none"/>
        </w:rPr>
        <w:t>）法律、法规规定的其他情形。</w:t>
      </w:r>
    </w:p>
    <w:p>
      <w:pPr>
        <w:pStyle w:val="7"/>
        <w:pageBreakBefore w:val="0"/>
        <w:widowControl w:val="0"/>
        <w:kinsoku/>
        <w:wordWrap/>
        <w:overflowPunct/>
        <w:topLinePunct w:val="0"/>
        <w:autoSpaceDE/>
        <w:autoSpaceDN/>
        <w:bidi w:val="0"/>
        <w:adjustRightInd/>
        <w:snapToGrid/>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3.资格审查委员会和审查标准</w:t>
      </w:r>
      <w:bookmarkEnd w:id="780"/>
      <w:bookmarkEnd w:id="781"/>
      <w:bookmarkEnd w:id="782"/>
      <w:bookmarkEnd w:id="783"/>
      <w:bookmarkEnd w:id="784"/>
      <w:bookmarkEnd w:id="785"/>
      <w:bookmarkEnd w:id="786"/>
      <w:bookmarkEnd w:id="787"/>
      <w:bookmarkEnd w:id="788"/>
      <w:bookmarkEnd w:id="789"/>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资格审查由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依法组建的资格审查委员会（或谈判小组）负责。审查标准见资格审查办法前附表。</w:t>
      </w:r>
    </w:p>
    <w:p>
      <w:pPr>
        <w:pStyle w:val="7"/>
        <w:pageBreakBefore w:val="0"/>
        <w:widowControl w:val="0"/>
        <w:kinsoku/>
        <w:wordWrap/>
        <w:overflowPunct/>
        <w:topLinePunct w:val="0"/>
        <w:autoSpaceDE/>
        <w:autoSpaceDN/>
        <w:bidi w:val="0"/>
        <w:adjustRightInd/>
        <w:snapToGrid/>
        <w:spacing w:before="0" w:beforeLines="0" w:after="0" w:afterLines="0" w:line="440" w:lineRule="exact"/>
        <w:ind w:firstLine="422" w:firstLineChars="200"/>
        <w:textAlignment w:val="auto"/>
        <w:rPr>
          <w:rFonts w:hint="eastAsia" w:ascii="宋体" w:hAnsi="宋体" w:eastAsia="宋体" w:cs="宋体"/>
          <w:color w:val="auto"/>
          <w:sz w:val="21"/>
          <w:szCs w:val="21"/>
          <w:highlight w:val="none"/>
        </w:rPr>
      </w:pPr>
      <w:bookmarkStart w:id="790" w:name="_Toc17362"/>
      <w:bookmarkStart w:id="791" w:name="_Toc324404869"/>
      <w:bookmarkStart w:id="792" w:name="_Toc16230"/>
      <w:bookmarkStart w:id="793" w:name="_Toc10173"/>
      <w:bookmarkStart w:id="794" w:name="_Toc12564"/>
      <w:bookmarkStart w:id="795" w:name="_Toc18062"/>
      <w:bookmarkStart w:id="796" w:name="_Toc13791"/>
      <w:bookmarkStart w:id="797" w:name="_Toc15058911"/>
      <w:bookmarkStart w:id="798" w:name="_Toc40723440"/>
      <w:bookmarkStart w:id="799" w:name="_Toc506107322"/>
      <w:r>
        <w:rPr>
          <w:rFonts w:hint="eastAsia" w:ascii="宋体" w:hAnsi="宋体" w:eastAsia="宋体" w:cs="宋体"/>
          <w:color w:val="auto"/>
          <w:sz w:val="21"/>
          <w:szCs w:val="21"/>
          <w:highlight w:val="none"/>
        </w:rPr>
        <w:t>4.审查结果</w:t>
      </w:r>
      <w:bookmarkEnd w:id="790"/>
      <w:bookmarkEnd w:id="791"/>
      <w:bookmarkEnd w:id="792"/>
      <w:bookmarkEnd w:id="793"/>
      <w:bookmarkEnd w:id="794"/>
      <w:bookmarkEnd w:id="795"/>
      <w:bookmarkEnd w:id="796"/>
      <w:bookmarkEnd w:id="797"/>
      <w:bookmarkEnd w:id="798"/>
      <w:bookmarkEnd w:id="799"/>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只有通过资格审查的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才能进入下一步的</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程序。</w:t>
      </w:r>
      <w:bookmarkStart w:id="800" w:name="_Toc506107323"/>
    </w:p>
    <w:p>
      <w:pPr>
        <w:keepNext w:val="0"/>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hint="eastAsia" w:ascii="宋体" w:hAnsi="宋体" w:cs="宋体"/>
          <w:b/>
          <w:bCs/>
          <w:color w:val="auto"/>
          <w:sz w:val="32"/>
          <w:szCs w:val="32"/>
          <w:highlight w:val="none"/>
        </w:rPr>
      </w:pPr>
      <w:bookmarkStart w:id="801" w:name="_Toc29144"/>
      <w:bookmarkStart w:id="802" w:name="_Toc40723441"/>
      <w:bookmarkStart w:id="803" w:name="_Toc19827"/>
      <w:bookmarkStart w:id="804" w:name="_Toc10225"/>
      <w:bookmarkStart w:id="805" w:name="_Toc17045"/>
      <w:bookmarkStart w:id="806" w:name="_Toc18880"/>
      <w:bookmarkStart w:id="807" w:name="_Toc15058912"/>
      <w:bookmarkStart w:id="808" w:name="_Toc31400"/>
      <w:r>
        <w:rPr>
          <w:rFonts w:hint="eastAsia" w:ascii="宋体" w:hAnsi="宋体" w:cs="宋体"/>
          <w:b/>
          <w:bCs/>
          <w:color w:val="auto"/>
          <w:sz w:val="32"/>
          <w:szCs w:val="32"/>
          <w:highlight w:val="none"/>
        </w:rPr>
        <w:t xml:space="preserve">第四章 </w:t>
      </w:r>
      <w:r>
        <w:rPr>
          <w:rFonts w:hint="eastAsia" w:ascii="宋体" w:hAnsi="宋体" w:cs="宋体"/>
          <w:b/>
          <w:bCs/>
          <w:color w:val="auto"/>
          <w:sz w:val="32"/>
          <w:szCs w:val="32"/>
          <w:highlight w:val="none"/>
          <w:lang w:val="en-US" w:eastAsia="zh-CN"/>
        </w:rPr>
        <w:t>评审</w:t>
      </w:r>
      <w:r>
        <w:rPr>
          <w:rFonts w:hint="eastAsia" w:ascii="宋体" w:hAnsi="宋体" w:cs="宋体"/>
          <w:b/>
          <w:bCs/>
          <w:color w:val="auto"/>
          <w:sz w:val="32"/>
          <w:szCs w:val="32"/>
          <w:highlight w:val="none"/>
        </w:rPr>
        <w:t>办法</w:t>
      </w:r>
      <w:bookmarkEnd w:id="740"/>
      <w:bookmarkEnd w:id="800"/>
      <w:bookmarkEnd w:id="801"/>
      <w:bookmarkEnd w:id="802"/>
      <w:bookmarkEnd w:id="803"/>
      <w:bookmarkEnd w:id="804"/>
      <w:bookmarkEnd w:id="805"/>
      <w:bookmarkEnd w:id="806"/>
      <w:bookmarkEnd w:id="807"/>
      <w:bookmarkEnd w:id="808"/>
      <w:r>
        <w:rPr>
          <w:rFonts w:hint="eastAsia" w:ascii="宋体" w:hAnsi="宋体" w:cs="宋体"/>
          <w:b/>
          <w:bCs/>
          <w:color w:val="auto"/>
          <w:sz w:val="32"/>
          <w:szCs w:val="32"/>
          <w:highlight w:val="none"/>
        </w:rPr>
        <w:t xml:space="preserve"> </w:t>
      </w:r>
    </w:p>
    <w:p>
      <w:pPr>
        <w:jc w:val="center"/>
        <w:outlineLvl w:val="1"/>
        <w:rPr>
          <w:rFonts w:hint="eastAsia" w:ascii="宋体" w:hAnsi="宋体" w:cs="宋体"/>
          <w:color w:val="auto"/>
          <w:sz w:val="25"/>
          <w:highlight w:val="none"/>
        </w:rPr>
      </w:pPr>
      <w:bookmarkStart w:id="809" w:name="_Toc29154"/>
      <w:r>
        <w:rPr>
          <w:rFonts w:hint="eastAsia"/>
          <w:color w:val="auto"/>
          <w:sz w:val="25"/>
          <w:highlight w:val="none"/>
        </w:rPr>
        <w:t>（</w:t>
      </w:r>
      <w:r>
        <w:rPr>
          <w:rFonts w:hint="eastAsia"/>
          <w:color w:val="auto"/>
          <w:sz w:val="25"/>
          <w:highlight w:val="none"/>
          <w:lang w:val="en-US" w:eastAsia="zh-CN"/>
        </w:rPr>
        <w:t>一</w:t>
      </w:r>
      <w:r>
        <w:rPr>
          <w:rFonts w:hint="eastAsia"/>
          <w:color w:val="auto"/>
          <w:sz w:val="25"/>
          <w:highlight w:val="none"/>
        </w:rPr>
        <w:t>）</w:t>
      </w:r>
      <w:r>
        <w:rPr>
          <w:rFonts w:hint="eastAsia" w:ascii="宋体" w:hAnsi="宋体"/>
          <w:color w:val="auto"/>
          <w:sz w:val="25"/>
          <w:highlight w:val="none"/>
        </w:rPr>
        <w:t>商务评审</w:t>
      </w:r>
      <w:bookmarkEnd w:id="809"/>
    </w:p>
    <w:tbl>
      <w:tblPr>
        <w:tblStyle w:val="23"/>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899"/>
        <w:gridCol w:w="2790"/>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2" w:type="dxa"/>
            <w:gridSpan w:val="2"/>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bookmarkStart w:id="810" w:name="_Toc324404872"/>
            <w:bookmarkStart w:id="811" w:name="_Toc12915"/>
            <w:bookmarkStart w:id="812" w:name="_Toc247085747"/>
            <w:bookmarkStart w:id="813" w:name="_Toc246996975"/>
            <w:bookmarkStart w:id="814" w:name="_Toc15058913"/>
            <w:bookmarkStart w:id="815" w:name="_Toc246996232"/>
            <w:bookmarkStart w:id="816" w:name="_Toc152045589"/>
            <w:bookmarkStart w:id="817" w:name="_Toc16557"/>
            <w:bookmarkStart w:id="818" w:name="_Toc152042366"/>
            <w:bookmarkStart w:id="819" w:name="_Toc3588"/>
            <w:bookmarkStart w:id="820" w:name="_Toc179632607"/>
            <w:bookmarkStart w:id="821" w:name="_Toc506107324"/>
            <w:bookmarkStart w:id="822" w:name="_Toc4118"/>
            <w:bookmarkStart w:id="823" w:name="_Toc144974556"/>
            <w:bookmarkStart w:id="824" w:name="_Toc3031"/>
            <w:r>
              <w:rPr>
                <w:rFonts w:hint="eastAsia" w:ascii="宋体" w:hAnsi="宋体" w:cs="宋体"/>
                <w:color w:val="auto"/>
                <w:sz w:val="21"/>
                <w:szCs w:val="21"/>
                <w:highlight w:val="none"/>
              </w:rPr>
              <w:t>条款号</w:t>
            </w: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评审因素</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4.2.1</w:t>
            </w:r>
          </w:p>
        </w:tc>
        <w:tc>
          <w:tcPr>
            <w:tcW w:w="1899"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形式评审标准</w:t>
            </w: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响应函</w:t>
            </w:r>
            <w:r>
              <w:rPr>
                <w:rFonts w:hint="eastAsia" w:ascii="宋体" w:hAnsi="宋体" w:cs="宋体"/>
                <w:color w:val="auto"/>
                <w:sz w:val="21"/>
                <w:szCs w:val="21"/>
                <w:highlight w:val="none"/>
              </w:rPr>
              <w:t>签字盖章</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有投标人及其法定代表人</w:t>
            </w:r>
            <w:r>
              <w:rPr>
                <w:rFonts w:hint="eastAsia" w:ascii="宋体" w:hAnsi="宋体" w:cs="宋体"/>
                <w:color w:val="auto"/>
                <w:sz w:val="21"/>
                <w:szCs w:val="21"/>
                <w:highlight w:val="none"/>
                <w:lang w:val="en-US" w:eastAsia="zh-CN"/>
              </w:rPr>
              <w:t>签字或盖章</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1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响应文件格式</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r>
              <w:rPr>
                <w:rFonts w:hint="eastAsia" w:ascii="宋体" w:hAnsi="宋体"/>
                <w:color w:val="auto"/>
                <w:sz w:val="21"/>
                <w:szCs w:val="21"/>
                <w:highlight w:val="none"/>
              </w:rPr>
              <w:t>符合第</w:t>
            </w:r>
            <w:r>
              <w:rPr>
                <w:rFonts w:hint="eastAsia" w:ascii="宋体" w:hAnsi="宋体"/>
                <w:color w:val="auto"/>
                <w:sz w:val="21"/>
                <w:szCs w:val="21"/>
                <w:highlight w:val="none"/>
                <w:lang w:val="en-US" w:eastAsia="zh-CN"/>
              </w:rPr>
              <w:t>九</w:t>
            </w:r>
            <w:r>
              <w:rPr>
                <w:rFonts w:hint="eastAsia" w:ascii="宋体" w:hAnsi="宋体"/>
                <w:color w:val="auto"/>
                <w:sz w:val="21"/>
                <w:szCs w:val="21"/>
                <w:highlight w:val="none"/>
              </w:rPr>
              <w:t>章“</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1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商务</w:t>
            </w:r>
            <w:r>
              <w:rPr>
                <w:rFonts w:hint="eastAsia" w:ascii="宋体" w:hAnsi="宋体" w:cs="宋体"/>
                <w:color w:val="auto"/>
                <w:sz w:val="21"/>
                <w:szCs w:val="21"/>
                <w:highlight w:val="none"/>
                <w:lang w:val="en-US" w:eastAsia="zh-CN"/>
              </w:rPr>
              <w:t>文件</w:t>
            </w:r>
            <w:r>
              <w:rPr>
                <w:rFonts w:hint="eastAsia" w:ascii="宋体" w:hAnsi="宋体" w:cs="宋体"/>
                <w:color w:val="auto"/>
                <w:sz w:val="21"/>
                <w:szCs w:val="21"/>
                <w:highlight w:val="none"/>
              </w:rPr>
              <w:t>签字盖章</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按</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格式要求</w:t>
            </w:r>
            <w:r>
              <w:rPr>
                <w:rFonts w:hint="eastAsia" w:ascii="宋体" w:hAnsi="宋体"/>
                <w:color w:val="auto"/>
                <w:sz w:val="21"/>
                <w:szCs w:val="21"/>
                <w:highlight w:val="none"/>
                <w:lang w:val="en-US" w:eastAsia="zh-CN"/>
              </w:rPr>
              <w:t>签字盖章</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1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报价唯一</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r>
              <w:rPr>
                <w:rFonts w:hint="eastAsia" w:ascii="宋体" w:hAnsi="宋体"/>
                <w:color w:val="auto"/>
                <w:sz w:val="21"/>
                <w:szCs w:val="21"/>
                <w:highlight w:val="none"/>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4.2.2</w:t>
            </w:r>
          </w:p>
        </w:tc>
        <w:tc>
          <w:tcPr>
            <w:tcW w:w="1899"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响应性评审标准</w:t>
            </w: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服务期</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符合</w:t>
            </w:r>
            <w:r>
              <w:rPr>
                <w:rFonts w:hint="eastAsia" w:ascii="宋体" w:hAnsi="宋体" w:cs="宋体"/>
                <w:color w:val="auto"/>
                <w:sz w:val="21"/>
                <w:szCs w:val="21"/>
                <w:highlight w:val="none"/>
                <w:lang w:eastAsia="zh-CN"/>
              </w:rPr>
              <w:t>供应商须知</w:t>
            </w:r>
            <w:r>
              <w:rPr>
                <w:rFonts w:hint="eastAsia" w:ascii="宋体" w:hAnsi="宋体" w:cs="宋体"/>
                <w:color w:val="auto"/>
                <w:sz w:val="21"/>
                <w:szCs w:val="21"/>
                <w:highlight w:val="none"/>
              </w:rPr>
              <w:t>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1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质量</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符合</w:t>
            </w:r>
            <w:r>
              <w:rPr>
                <w:rFonts w:hint="eastAsia" w:ascii="宋体" w:hAnsi="宋体" w:cs="宋体"/>
                <w:color w:val="auto"/>
                <w:sz w:val="21"/>
                <w:szCs w:val="21"/>
                <w:highlight w:val="none"/>
                <w:lang w:eastAsia="zh-CN"/>
              </w:rPr>
              <w:t>供应商须知</w:t>
            </w:r>
            <w:r>
              <w:rPr>
                <w:rFonts w:hint="eastAsia" w:ascii="宋体" w:hAnsi="宋体" w:cs="宋体"/>
                <w:color w:val="auto"/>
                <w:sz w:val="21"/>
                <w:szCs w:val="21"/>
                <w:highlight w:val="none"/>
              </w:rPr>
              <w:t>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1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技术参数响应程度</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完全响应或优于招标文件要求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1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rPr>
            </w:pP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响应有效期</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符合</w:t>
            </w:r>
            <w:r>
              <w:rPr>
                <w:rFonts w:hint="eastAsia" w:ascii="宋体" w:hAnsi="宋体" w:cs="宋体"/>
                <w:color w:val="auto"/>
                <w:sz w:val="21"/>
                <w:szCs w:val="21"/>
                <w:highlight w:val="none"/>
                <w:lang w:eastAsia="zh-CN"/>
              </w:rPr>
              <w:t>供应商须知</w:t>
            </w:r>
            <w:r>
              <w:rPr>
                <w:rFonts w:hint="eastAsia" w:ascii="宋体" w:hAnsi="宋体" w:cs="宋体"/>
                <w:color w:val="auto"/>
                <w:sz w:val="21"/>
                <w:szCs w:val="21"/>
                <w:highlight w:val="none"/>
              </w:rPr>
              <w:t>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73"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4.2.3</w:t>
            </w:r>
          </w:p>
        </w:tc>
        <w:tc>
          <w:tcPr>
            <w:tcW w:w="1899"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详细评审标准</w:t>
            </w:r>
          </w:p>
        </w:tc>
        <w:tc>
          <w:tcPr>
            <w:tcW w:w="2790"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响应报价</w:t>
            </w:r>
            <w:r>
              <w:rPr>
                <w:rFonts w:hint="eastAsia" w:ascii="宋体" w:hAnsi="宋体" w:cs="宋体"/>
                <w:color w:val="auto"/>
                <w:sz w:val="21"/>
                <w:szCs w:val="21"/>
                <w:highlight w:val="none"/>
              </w:rPr>
              <w:t>评审</w:t>
            </w:r>
          </w:p>
        </w:tc>
        <w:tc>
          <w:tcPr>
            <w:tcW w:w="4105"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不得高于最高投标限价</w:t>
            </w:r>
          </w:p>
        </w:tc>
      </w:t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tbl>
    <w:p>
      <w:pPr>
        <w:pStyle w:val="7"/>
        <w:pageBreakBefore w:val="0"/>
        <w:widowControl w:val="0"/>
        <w:kinsoku/>
        <w:wordWrap/>
        <w:overflowPunct/>
        <w:topLinePunct w:val="0"/>
        <w:autoSpaceDE/>
        <w:autoSpaceDN/>
        <w:bidi w:val="0"/>
        <w:adjustRightIn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lang w:eastAsia="zh-CN"/>
        </w:rPr>
      </w:pPr>
      <w:bookmarkStart w:id="825" w:name="_Toc40723443"/>
      <w:bookmarkStart w:id="826" w:name="_Toc28635"/>
      <w:bookmarkStart w:id="827" w:name="_Toc1680"/>
      <w:bookmarkStart w:id="828" w:name="_Toc10502"/>
      <w:bookmarkStart w:id="829" w:name="_Toc11820"/>
      <w:bookmarkStart w:id="830" w:name="_Toc28417"/>
      <w:bookmarkStart w:id="831" w:name="_Toc506107325"/>
      <w:bookmarkStart w:id="832" w:name="_Toc31165"/>
      <w:bookmarkStart w:id="833" w:name="_Toc15058914"/>
      <w:bookmarkStart w:id="834" w:name="_Toc40723444"/>
      <w:bookmarkStart w:id="835" w:name="_Toc713"/>
      <w:bookmarkStart w:id="836" w:name="_Toc324404873"/>
      <w:bookmarkStart w:id="837" w:name="_Toc246996233"/>
      <w:bookmarkStart w:id="838" w:name="_Toc152045590"/>
      <w:bookmarkStart w:id="839" w:name="_Toc179632608"/>
      <w:bookmarkStart w:id="840" w:name="_Toc152042367"/>
      <w:bookmarkStart w:id="841" w:name="_Toc144974557"/>
      <w:bookmarkStart w:id="842" w:name="_Toc246996976"/>
      <w:bookmarkStart w:id="843" w:name="_Toc296602478"/>
      <w:bookmarkStart w:id="844" w:name="_Toc247085748"/>
      <w:r>
        <w:rPr>
          <w:rFonts w:hint="eastAsia" w:ascii="宋体" w:hAnsi="宋体" w:eastAsia="宋体" w:cs="宋体"/>
          <w:color w:val="auto"/>
          <w:sz w:val="21"/>
          <w:szCs w:val="21"/>
          <w:highlight w:val="none"/>
        </w:rPr>
        <w:t xml:space="preserve">1. </w:t>
      </w:r>
      <w:bookmarkEnd w:id="825"/>
      <w:bookmarkEnd w:id="826"/>
      <w:r>
        <w:rPr>
          <w:rFonts w:hint="eastAsia" w:ascii="宋体" w:hAnsi="宋体" w:eastAsia="宋体" w:cs="宋体"/>
          <w:color w:val="auto"/>
          <w:sz w:val="21"/>
          <w:szCs w:val="21"/>
          <w:highlight w:val="none"/>
          <w:lang w:eastAsia="zh-CN"/>
        </w:rPr>
        <w:t>评审方法</w:t>
      </w:r>
    </w:p>
    <w:p>
      <w:pPr>
        <w:pageBreakBefore w:val="0"/>
        <w:widowControl w:val="0"/>
        <w:kinsoku/>
        <w:wordWrap/>
        <w:overflowPunct/>
        <w:topLinePunct w:val="0"/>
        <w:autoSpaceDE/>
        <w:autoSpaceDN/>
        <w:bidi w:val="0"/>
        <w:adjustRightInd/>
        <w:spacing w:line="440" w:lineRule="exact"/>
        <w:ind w:right="0" w:righ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1.1本次评标采用最低评标价法</w:t>
      </w:r>
    </w:p>
    <w:p>
      <w:pPr>
        <w:pageBreakBefore w:val="0"/>
        <w:widowControl w:val="0"/>
        <w:kinsoku/>
        <w:wordWrap/>
        <w:overflowPunct/>
        <w:topLinePunct w:val="0"/>
        <w:autoSpaceDE/>
        <w:autoSpaceDN/>
        <w:bidi w:val="0"/>
        <w:adjustRightInd/>
        <w:spacing w:line="440" w:lineRule="exact"/>
        <w:ind w:right="0" w:righ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①第一次报价为投标人在响应文件《开标一览表》中填报的报价（开标一览表的报价必须与响应函报价一致）；</w:t>
      </w:r>
    </w:p>
    <w:p>
      <w:pPr>
        <w:pageBreakBefore w:val="0"/>
        <w:widowControl w:val="0"/>
        <w:kinsoku/>
        <w:wordWrap/>
        <w:overflowPunct/>
        <w:topLinePunct w:val="0"/>
        <w:autoSpaceDE/>
        <w:autoSpaceDN/>
        <w:bidi w:val="0"/>
        <w:adjustRightInd/>
        <w:spacing w:line="440" w:lineRule="exact"/>
        <w:ind w:right="0" w:righ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②第二次报价为投标人响应文件评审合格后，由谈判小组分别组织投标人进行谈判后的最后一次报价，即为最终报价，谈判结果以投标人的最终报价为准。</w:t>
      </w:r>
    </w:p>
    <w:p>
      <w:pPr>
        <w:pageBreakBefore w:val="0"/>
        <w:widowControl w:val="0"/>
        <w:kinsoku/>
        <w:wordWrap/>
        <w:overflowPunct/>
        <w:topLinePunct w:val="0"/>
        <w:autoSpaceDE/>
        <w:autoSpaceDN/>
        <w:bidi w:val="0"/>
        <w:adjustRightInd/>
        <w:spacing w:line="440" w:lineRule="exact"/>
        <w:ind w:right="0" w:righ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次报价不得高于第一次报价，否则取消其谈判资格。（最终投标报价的综合单价结合第一次报价中的各项综合单价按总价同比例下浮，价款结算时按中标下浮比率进行调整，小数点后保留二位小数，第三位四舍五入。）</w:t>
      </w:r>
    </w:p>
    <w:p>
      <w:pPr>
        <w:pageBreakBefore w:val="0"/>
        <w:widowControl w:val="0"/>
        <w:kinsoku/>
        <w:wordWrap/>
        <w:overflowPunct/>
        <w:topLinePunct w:val="0"/>
        <w:autoSpaceDE/>
        <w:autoSpaceDN/>
        <w:bidi w:val="0"/>
        <w:adjustRightInd/>
        <w:spacing w:line="440" w:lineRule="exact"/>
        <w:ind w:right="0" w:rightChars="0"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Cs w:val="21"/>
          <w:highlight w:val="none"/>
        </w:rPr>
        <w:t>1.2谈判小组对满足谈判文件实质性要求的响应文件，按投标人的最终报价从低到高，推荐最终投标总报价最低的为第一成交候选人，次低的为第二成交候选人，以此类推三名成交候选人，但最终投标报价低于其成本的除外。最终投标总报价相同的投标人有两名或两名以上时，由</w:t>
      </w:r>
      <w:r>
        <w:rPr>
          <w:rFonts w:hint="eastAsia" w:ascii="宋体" w:hAnsi="宋体" w:cs="宋体"/>
          <w:b/>
          <w:bCs/>
          <w:color w:val="auto"/>
          <w:szCs w:val="21"/>
          <w:highlight w:val="none"/>
          <w:lang w:eastAsia="zh-CN"/>
        </w:rPr>
        <w:t>采购人</w:t>
      </w:r>
      <w:r>
        <w:rPr>
          <w:rFonts w:hint="eastAsia" w:ascii="宋体" w:hAnsi="宋体" w:eastAsia="宋体" w:cs="宋体"/>
          <w:b/>
          <w:bCs/>
          <w:color w:val="auto"/>
          <w:szCs w:val="21"/>
          <w:highlight w:val="none"/>
        </w:rPr>
        <w:t>或谈判小组主任委员抽签确定成交候选人排名。</w:t>
      </w:r>
    </w:p>
    <w:p>
      <w:pPr>
        <w:pStyle w:val="7"/>
        <w:pageBreakBefore w:val="0"/>
        <w:widowControl w:val="0"/>
        <w:kinsoku/>
        <w:wordWrap/>
        <w:overflowPunct/>
        <w:topLinePunct w:val="0"/>
        <w:autoSpaceDE/>
        <w:autoSpaceDN/>
        <w:bidi w:val="0"/>
        <w:adjustRightIn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2.谈判小组的职责</w:t>
      </w:r>
      <w:bookmarkEnd w:id="827"/>
      <w:bookmarkEnd w:id="828"/>
      <w:bookmarkEnd w:id="829"/>
      <w:bookmarkEnd w:id="830"/>
      <w:bookmarkEnd w:id="831"/>
      <w:bookmarkEnd w:id="832"/>
      <w:bookmarkEnd w:id="833"/>
      <w:bookmarkEnd w:id="834"/>
      <w:bookmarkEnd w:id="835"/>
      <w:bookmarkEnd w:id="836"/>
    </w:p>
    <w:p>
      <w:pPr>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谈判小组应当根据本评标办法，应进行系统地评审和比较，向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推荐</w:t>
      </w:r>
      <w:r>
        <w:rPr>
          <w:rFonts w:hint="eastAsia" w:ascii="宋体" w:hAnsi="宋体" w:eastAsia="宋体" w:cs="宋体"/>
          <w:color w:val="auto"/>
          <w:szCs w:val="21"/>
          <w:highlight w:val="none"/>
          <w:lang w:eastAsia="zh-CN"/>
        </w:rPr>
        <w:t>成交候选供应商</w:t>
      </w:r>
      <w:r>
        <w:rPr>
          <w:rFonts w:hint="eastAsia" w:ascii="宋体" w:hAnsi="宋体" w:eastAsia="宋体" w:cs="宋体"/>
          <w:color w:val="auto"/>
          <w:szCs w:val="21"/>
          <w:highlight w:val="none"/>
        </w:rPr>
        <w:t>或根据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的授权直接确定成交供应商。</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必须独立评审，提出评审意见，不受任何单位或者个人的干预。</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对其各自评审结果负责，并在</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报告上签字确认。对</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结论持有异议的谈判小组成员可以书面方式阐述其不同意见和理由。谈判小组成员拒绝在</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报告上签字且不陈述其不同意见和理由的，视为同意</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结论。谈判小组应当对此作出书面说明并记录在案。</w:t>
      </w:r>
    </w:p>
    <w:p>
      <w:pPr>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谈判小组应加强对报价合理性审查。</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认为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的报价明显低于其他通过符合性审查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的报价，有可能影响项目质量或者不能诚信履约的，应当要求其在</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现场合理的时间内提供书面说明，必要时提交相关证明材料；</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不能证明其报价合理性的，</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应当将其作为无效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处理。</w:t>
      </w:r>
    </w:p>
    <w:p>
      <w:pPr>
        <w:pStyle w:val="7"/>
        <w:pageBreakBefore w:val="0"/>
        <w:widowControl w:val="0"/>
        <w:kinsoku/>
        <w:wordWrap/>
        <w:overflowPunct/>
        <w:topLinePunct w:val="0"/>
        <w:autoSpaceDE/>
        <w:autoSpaceDN/>
        <w:bidi w:val="0"/>
        <w:adjustRightIn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rPr>
      </w:pPr>
      <w:bookmarkStart w:id="845" w:name="_Toc40723445"/>
      <w:bookmarkStart w:id="846" w:name="_Toc28746"/>
      <w:bookmarkStart w:id="847" w:name="_Toc7416"/>
      <w:bookmarkStart w:id="848" w:name="_Toc24143"/>
      <w:bookmarkStart w:id="849" w:name="_Toc18509"/>
      <w:bookmarkStart w:id="850" w:name="_Toc324404874"/>
      <w:bookmarkStart w:id="851" w:name="_Toc11746"/>
      <w:bookmarkStart w:id="852" w:name="_Toc506107326"/>
      <w:bookmarkStart w:id="853" w:name="_Toc21783"/>
      <w:bookmarkStart w:id="854" w:name="_Toc15058915"/>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程序</w:t>
      </w:r>
      <w:bookmarkEnd w:id="845"/>
      <w:bookmarkEnd w:id="846"/>
      <w:bookmarkEnd w:id="847"/>
      <w:bookmarkEnd w:id="848"/>
      <w:bookmarkEnd w:id="849"/>
      <w:bookmarkEnd w:id="850"/>
      <w:bookmarkEnd w:id="851"/>
      <w:bookmarkEnd w:id="852"/>
      <w:bookmarkEnd w:id="853"/>
      <w:bookmarkEnd w:id="854"/>
    </w:p>
    <w:p>
      <w:pPr>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先做准备工作，先进行资信证明文件评审，然后进行</w:t>
      </w:r>
      <w:r>
        <w:rPr>
          <w:rFonts w:hint="eastAsia" w:ascii="宋体" w:hAnsi="宋体" w:eastAsia="宋体" w:cs="宋体"/>
          <w:color w:val="auto"/>
          <w:szCs w:val="21"/>
          <w:highlight w:val="none"/>
          <w:lang w:val="en-US" w:eastAsia="zh-CN"/>
        </w:rPr>
        <w:t>商务</w:t>
      </w:r>
      <w:r>
        <w:rPr>
          <w:rFonts w:hint="eastAsia" w:ascii="宋体" w:hAnsi="宋体" w:eastAsia="宋体" w:cs="宋体"/>
          <w:color w:val="auto"/>
          <w:szCs w:val="21"/>
          <w:highlight w:val="none"/>
        </w:rPr>
        <w:t>评审。</w:t>
      </w:r>
    </w:p>
    <w:p>
      <w:pPr>
        <w:pStyle w:val="7"/>
        <w:pageBreakBefore w:val="0"/>
        <w:widowControl w:val="0"/>
        <w:kinsoku/>
        <w:wordWrap/>
        <w:overflowPunct/>
        <w:topLinePunct w:val="0"/>
        <w:autoSpaceDE/>
        <w:autoSpaceDN/>
        <w:bidi w:val="0"/>
        <w:adjustRightIn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rPr>
      </w:pPr>
      <w:bookmarkStart w:id="855" w:name="_Toc15058916"/>
      <w:bookmarkStart w:id="856" w:name="_Toc29295"/>
      <w:bookmarkStart w:id="857" w:name="_Toc2858"/>
      <w:bookmarkStart w:id="858" w:name="_Toc550"/>
      <w:bookmarkStart w:id="859" w:name="_Toc4163"/>
      <w:bookmarkStart w:id="860" w:name="_Toc1520"/>
      <w:bookmarkStart w:id="861" w:name="_Toc2737"/>
      <w:bookmarkStart w:id="862" w:name="_Toc40723446"/>
      <w:bookmarkStart w:id="863" w:name="_Toc21165"/>
      <w:r>
        <w:rPr>
          <w:rFonts w:hint="eastAsia" w:ascii="宋体" w:hAnsi="宋体" w:eastAsia="宋体" w:cs="宋体"/>
          <w:color w:val="auto"/>
          <w:sz w:val="21"/>
          <w:szCs w:val="21"/>
          <w:highlight w:val="none"/>
        </w:rPr>
        <w:t>3.1评标准备工作</w:t>
      </w:r>
      <w:bookmarkEnd w:id="855"/>
      <w:bookmarkEnd w:id="856"/>
      <w:bookmarkEnd w:id="857"/>
      <w:bookmarkEnd w:id="858"/>
      <w:bookmarkEnd w:id="859"/>
      <w:bookmarkEnd w:id="860"/>
      <w:bookmarkEnd w:id="861"/>
      <w:bookmarkEnd w:id="862"/>
      <w:bookmarkEnd w:id="863"/>
    </w:p>
    <w:p>
      <w:pPr>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谈判小组熟悉</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工作情况：</w:t>
      </w:r>
    </w:p>
    <w:p>
      <w:pPr>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（1）阅读由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或者其委托的工程代理机构编制的招标项目情况材料。</w:t>
      </w:r>
    </w:p>
    <w:p>
      <w:pPr>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（2）阅读、研究谈判文件和相关评标资料，获取评标所需要的重要信息和数据，至少应了解和熟悉以下内容：招标项目的范围和性质，谈判文件规定的主要技术要求、标准和商务条款。</w:t>
      </w:r>
    </w:p>
    <w:p>
      <w:pPr>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（3）熟悉谈判文件规定的</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标准和</w:t>
      </w:r>
      <w:r>
        <w:rPr>
          <w:rFonts w:hint="eastAsia" w:ascii="宋体" w:hAnsi="宋体" w:eastAsia="宋体" w:cs="宋体"/>
          <w:color w:val="auto"/>
          <w:szCs w:val="21"/>
          <w:highlight w:val="none"/>
          <w:lang w:eastAsia="zh-CN"/>
        </w:rPr>
        <w:t>评审方法</w:t>
      </w:r>
      <w:r>
        <w:rPr>
          <w:rFonts w:hint="eastAsia" w:ascii="宋体" w:hAnsi="宋体" w:eastAsia="宋体" w:cs="宋体"/>
          <w:color w:val="auto"/>
          <w:szCs w:val="21"/>
          <w:highlight w:val="none"/>
        </w:rPr>
        <w:t>及在</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过程中需要考虑的相关因素。</w:t>
      </w:r>
    </w:p>
    <w:p>
      <w:pPr>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（4）核对</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工作用表。</w:t>
      </w:r>
    </w:p>
    <w:p>
      <w:pPr>
        <w:pStyle w:val="7"/>
        <w:pageBreakBefore w:val="0"/>
        <w:widowControl w:val="0"/>
        <w:kinsoku/>
        <w:wordWrap/>
        <w:overflowPunct/>
        <w:topLinePunct w:val="0"/>
        <w:autoSpaceDE/>
        <w:autoSpaceDN/>
        <w:bidi w:val="0"/>
        <w:adjustRightInd/>
        <w:snapToGri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rPr>
      </w:pPr>
      <w:bookmarkStart w:id="864" w:name="_Toc15058917"/>
      <w:bookmarkStart w:id="865" w:name="_Toc4977"/>
      <w:bookmarkStart w:id="866" w:name="_Toc37230758"/>
      <w:r>
        <w:rPr>
          <w:rFonts w:hint="eastAsia" w:ascii="宋体" w:hAnsi="宋体" w:eastAsia="宋体" w:cs="宋体"/>
          <w:color w:val="auto"/>
          <w:sz w:val="21"/>
          <w:szCs w:val="21"/>
          <w:highlight w:val="none"/>
        </w:rPr>
        <w:t>3.2</w:t>
      </w:r>
      <w:bookmarkEnd w:id="864"/>
      <w:bookmarkEnd w:id="865"/>
      <w:bookmarkEnd w:id="866"/>
      <w:bookmarkStart w:id="867" w:name="_Toc19911"/>
      <w:bookmarkStart w:id="868" w:name="_Toc37230759"/>
      <w:bookmarkStart w:id="869" w:name="_Toc15058918"/>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评审</w:t>
      </w:r>
      <w:bookmarkEnd w:id="867"/>
      <w:bookmarkEnd w:id="868"/>
      <w:bookmarkEnd w:id="869"/>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详见商务评审表。</w:t>
      </w:r>
    </w:p>
    <w:p>
      <w:pPr>
        <w:pageBreakBefore w:val="0"/>
        <w:widowControl w:val="0"/>
        <w:kinsoku/>
        <w:wordWrap/>
        <w:overflowPunct/>
        <w:topLinePunct w:val="0"/>
        <w:autoSpaceDE/>
        <w:autoSpaceDN/>
        <w:bidi w:val="0"/>
        <w:adjustRightInd/>
        <w:snapToGrid/>
        <w:spacing w:line="440" w:lineRule="exact"/>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推荐</w:t>
      </w:r>
      <w:r>
        <w:rPr>
          <w:rFonts w:hint="eastAsia" w:ascii="宋体" w:hAnsi="宋体" w:eastAsia="宋体" w:cs="宋体"/>
          <w:b/>
          <w:bCs/>
          <w:color w:val="auto"/>
          <w:szCs w:val="21"/>
          <w:highlight w:val="none"/>
          <w:lang w:eastAsia="zh-CN"/>
        </w:rPr>
        <w:t>成交候选供应商</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经资信标评审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商务评审后，按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的最</w:t>
      </w:r>
      <w:r>
        <w:rPr>
          <w:rFonts w:hint="eastAsia" w:ascii="宋体" w:hAnsi="宋体" w:eastAsia="宋体" w:cs="宋体"/>
          <w:color w:val="auto"/>
          <w:szCs w:val="21"/>
          <w:highlight w:val="none"/>
          <w:lang w:val="en-US" w:eastAsia="zh-CN"/>
        </w:rPr>
        <w:t>后</w:t>
      </w:r>
      <w:r>
        <w:rPr>
          <w:rFonts w:hint="eastAsia" w:ascii="宋体" w:hAnsi="宋体" w:eastAsia="宋体" w:cs="宋体"/>
          <w:color w:val="auto"/>
          <w:szCs w:val="21"/>
          <w:highlight w:val="none"/>
        </w:rPr>
        <w:t>报价从低到高的顺序依次推荐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lang w:val="en-US" w:eastAsia="zh-CN"/>
        </w:rPr>
        <w:t>成交候选供应商</w:t>
      </w:r>
      <w:r>
        <w:rPr>
          <w:rFonts w:hint="eastAsia" w:ascii="宋体" w:hAnsi="宋体" w:eastAsia="宋体" w:cs="宋体"/>
          <w:color w:val="auto"/>
          <w:szCs w:val="21"/>
          <w:highlight w:val="none"/>
        </w:rPr>
        <w:t>，并标明排序。</w:t>
      </w:r>
    </w:p>
    <w:p>
      <w:pPr>
        <w:pStyle w:val="7"/>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rPr>
      </w:pPr>
      <w:bookmarkStart w:id="870" w:name="_Toc15058919"/>
      <w:bookmarkStart w:id="871" w:name="_Toc16784"/>
      <w:bookmarkStart w:id="872" w:name="_Toc15991"/>
      <w:bookmarkStart w:id="873" w:name="_Toc19361"/>
      <w:bookmarkStart w:id="874" w:name="_Toc506107327"/>
      <w:bookmarkStart w:id="875" w:name="_Toc10244"/>
      <w:bookmarkStart w:id="876" w:name="_Toc40723448"/>
      <w:bookmarkStart w:id="877" w:name="_Toc8140"/>
      <w:bookmarkStart w:id="878" w:name="_Toc9478"/>
      <w:bookmarkStart w:id="879" w:name="_Toc324404875"/>
      <w:r>
        <w:rPr>
          <w:rFonts w:hint="eastAsia" w:ascii="宋体" w:hAnsi="宋体" w:eastAsia="宋体" w:cs="宋体"/>
          <w:color w:val="auto"/>
          <w:sz w:val="21"/>
          <w:szCs w:val="21"/>
          <w:highlight w:val="none"/>
        </w:rPr>
        <w:t>评审内容</w:t>
      </w:r>
      <w:bookmarkEnd w:id="870"/>
      <w:bookmarkEnd w:id="871"/>
      <w:bookmarkEnd w:id="872"/>
      <w:bookmarkEnd w:id="873"/>
      <w:bookmarkEnd w:id="874"/>
      <w:bookmarkEnd w:id="875"/>
      <w:bookmarkEnd w:id="876"/>
      <w:bookmarkEnd w:id="877"/>
      <w:bookmarkEnd w:id="878"/>
      <w:bookmarkEnd w:id="879"/>
    </w:p>
    <w:p>
      <w:pPr>
        <w:pStyle w:val="7"/>
        <w:pageBreakBefore w:val="0"/>
        <w:widowControl w:val="0"/>
        <w:kinsoku/>
        <w:wordWrap/>
        <w:overflowPunct/>
        <w:topLinePunct w:val="0"/>
        <w:autoSpaceDE/>
        <w:autoSpaceDN/>
        <w:bidi w:val="0"/>
        <w:adjustRightInd/>
        <w:snapToGri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rPr>
      </w:pPr>
      <w:bookmarkStart w:id="880" w:name="_Toc31923"/>
      <w:bookmarkStart w:id="881" w:name="_Toc37230761"/>
      <w:r>
        <w:rPr>
          <w:rFonts w:hint="eastAsia" w:ascii="宋体" w:hAnsi="宋体" w:eastAsia="宋体" w:cs="宋体"/>
          <w:color w:val="auto"/>
          <w:sz w:val="21"/>
          <w:szCs w:val="21"/>
          <w:highlight w:val="none"/>
        </w:rPr>
        <w:t>4.1</w:t>
      </w:r>
      <w:bookmarkEnd w:id="880"/>
      <w:bookmarkEnd w:id="881"/>
      <w:bookmarkStart w:id="882" w:name="_Toc5644"/>
      <w:bookmarkStart w:id="883" w:name="_Toc29875"/>
      <w:bookmarkStart w:id="884" w:name="_Toc9371"/>
      <w:bookmarkStart w:id="885" w:name="_Toc2645"/>
      <w:bookmarkStart w:id="886" w:name="_Toc40723449"/>
      <w:bookmarkStart w:id="887" w:name="_Toc13610"/>
      <w:bookmarkStart w:id="888" w:name="_Toc7161"/>
      <w:bookmarkStart w:id="889" w:name="_Toc7616"/>
      <w:bookmarkStart w:id="890" w:name="_Toc15058921"/>
      <w:bookmarkStart w:id="891" w:name="_Toc324404876"/>
      <w:r>
        <w:rPr>
          <w:rFonts w:hint="eastAsia" w:ascii="宋体" w:hAnsi="宋体" w:eastAsia="宋体" w:cs="宋体"/>
          <w:color w:val="auto"/>
          <w:sz w:val="21"/>
          <w:szCs w:val="21"/>
          <w:highlight w:val="none"/>
        </w:rPr>
        <w:t>商务评审</w:t>
      </w:r>
      <w:bookmarkEnd w:id="882"/>
      <w:bookmarkEnd w:id="883"/>
      <w:bookmarkEnd w:id="884"/>
      <w:bookmarkEnd w:id="885"/>
      <w:bookmarkEnd w:id="886"/>
      <w:bookmarkEnd w:id="887"/>
      <w:bookmarkEnd w:id="888"/>
      <w:bookmarkEnd w:id="889"/>
      <w:bookmarkEnd w:id="890"/>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只有通过资信标评审的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才能够进入本阶段评审。</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.1形式性评审标准：见商务</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rPr>
        <w:t>评审表。</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.2响应性评审标准：见商务</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rPr>
        <w:t>评审表。</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谈判小组依据上述标准对响应文件进行初步评审。有一项不符合评审标准的，作</w:t>
      </w:r>
      <w:r>
        <w:rPr>
          <w:rFonts w:hint="eastAsia" w:ascii="宋体" w:hAnsi="宋体" w:eastAsia="宋体" w:cs="宋体"/>
          <w:color w:val="auto"/>
          <w:szCs w:val="21"/>
          <w:highlight w:val="none"/>
          <w:u w:val="single"/>
          <w:lang w:eastAsia="zh-CN"/>
        </w:rPr>
        <w:t>无效响应</w:t>
      </w:r>
      <w:r>
        <w:rPr>
          <w:rFonts w:hint="eastAsia" w:ascii="宋体" w:hAnsi="宋体" w:eastAsia="宋体" w:cs="宋体"/>
          <w:color w:val="auto"/>
          <w:szCs w:val="21"/>
          <w:highlight w:val="none"/>
          <w:u w:val="single"/>
        </w:rPr>
        <w:t>处理。</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.3详细评审标准：见商务</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rPr>
        <w:t>评审表。</w:t>
      </w:r>
    </w:p>
    <w:p>
      <w:pPr>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审查</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文件，审核并确认</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报价有错误的，谈判小组按以下原则对报价进行修正。</w:t>
      </w:r>
    </w:p>
    <w:p>
      <w:pPr>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（1）响应文件中的大写金额与小写金额不一致的，以大写金额为准。</w:t>
      </w:r>
    </w:p>
    <w:p>
      <w:pPr>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（2）总价金额与依据单价计算出的结果不一致的，以单价金额为准修正总价，但单价金额小数点有明显错误的除外。</w:t>
      </w:r>
    </w:p>
    <w:p>
      <w:pPr>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按上述修正错误的原则及方法调整或修正响应文件的报价，调整或修正的价格经</w:t>
      </w:r>
      <w:r>
        <w:rPr>
          <w:rFonts w:hint="eastAsia" w:ascii="宋体" w:hAnsi="宋体" w:eastAsia="宋体" w:cs="宋体"/>
          <w:color w:val="auto"/>
          <w:szCs w:val="21"/>
          <w:highlight w:val="none"/>
          <w:u w:val="none"/>
          <w:lang w:val="en-US" w:eastAsia="zh-CN"/>
        </w:rPr>
        <w:t>供应商</w:t>
      </w:r>
      <w:r>
        <w:rPr>
          <w:rFonts w:hint="eastAsia" w:ascii="宋体" w:hAnsi="宋体" w:eastAsia="宋体" w:cs="宋体"/>
          <w:color w:val="auto"/>
          <w:szCs w:val="21"/>
          <w:highlight w:val="none"/>
          <w:u w:val="none"/>
        </w:rPr>
        <w:t>书面确认后具有约束力。</w:t>
      </w:r>
      <w:r>
        <w:rPr>
          <w:rFonts w:hint="eastAsia" w:ascii="宋体" w:hAnsi="宋体" w:eastAsia="宋体" w:cs="宋体"/>
          <w:color w:val="auto"/>
          <w:szCs w:val="21"/>
          <w:highlight w:val="none"/>
          <w:u w:val="none"/>
          <w:lang w:val="en-US" w:eastAsia="zh-CN"/>
        </w:rPr>
        <w:t>评审时原则上</w:t>
      </w:r>
      <w:r>
        <w:rPr>
          <w:rFonts w:hint="eastAsia" w:ascii="宋体" w:hAnsi="宋体" w:eastAsia="宋体" w:cs="宋体"/>
          <w:color w:val="auto"/>
          <w:szCs w:val="21"/>
          <w:highlight w:val="none"/>
          <w:u w:val="none"/>
        </w:rPr>
        <w:t>以调整或修正后的价格为准，调整或修正后的价格与</w:t>
      </w:r>
      <w:r>
        <w:rPr>
          <w:rFonts w:hint="eastAsia" w:ascii="宋体" w:hAnsi="宋体" w:eastAsia="宋体" w:cs="宋体"/>
          <w:color w:val="auto"/>
          <w:szCs w:val="21"/>
          <w:highlight w:val="none"/>
          <w:u w:val="none"/>
          <w:lang w:val="en-US" w:eastAsia="zh-CN"/>
        </w:rPr>
        <w:t>响应</w:t>
      </w:r>
      <w:r>
        <w:rPr>
          <w:rFonts w:hint="eastAsia" w:ascii="宋体" w:hAnsi="宋体" w:eastAsia="宋体" w:cs="宋体"/>
          <w:color w:val="auto"/>
          <w:szCs w:val="21"/>
          <w:highlight w:val="none"/>
          <w:u w:val="none"/>
        </w:rPr>
        <w:t>报价相比，价格低的为</w:t>
      </w:r>
      <w:r>
        <w:rPr>
          <w:rFonts w:hint="eastAsia" w:ascii="宋体" w:hAnsi="宋体" w:eastAsia="宋体" w:cs="宋体"/>
          <w:color w:val="auto"/>
          <w:szCs w:val="21"/>
          <w:highlight w:val="none"/>
          <w:u w:val="none"/>
          <w:lang w:val="en-US" w:eastAsia="zh-CN"/>
        </w:rPr>
        <w:t>评审价</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供应商</w:t>
      </w:r>
      <w:r>
        <w:rPr>
          <w:rFonts w:hint="eastAsia" w:ascii="宋体" w:hAnsi="宋体" w:eastAsia="宋体" w:cs="宋体"/>
          <w:color w:val="auto"/>
          <w:szCs w:val="21"/>
          <w:highlight w:val="none"/>
          <w:u w:val="none"/>
        </w:rPr>
        <w:t>不接受的，其</w:t>
      </w:r>
      <w:r>
        <w:rPr>
          <w:rFonts w:hint="eastAsia" w:ascii="宋体" w:hAnsi="宋体" w:eastAsia="宋体" w:cs="宋体"/>
          <w:color w:val="auto"/>
          <w:szCs w:val="21"/>
          <w:highlight w:val="none"/>
          <w:u w:val="none"/>
          <w:lang w:val="en-US" w:eastAsia="zh-CN"/>
        </w:rPr>
        <w:t>响应</w:t>
      </w:r>
      <w:r>
        <w:rPr>
          <w:rFonts w:hint="eastAsia" w:ascii="宋体" w:hAnsi="宋体" w:eastAsia="宋体" w:cs="宋体"/>
          <w:color w:val="auto"/>
          <w:szCs w:val="21"/>
          <w:highlight w:val="none"/>
          <w:u w:val="none"/>
        </w:rPr>
        <w:t>将被拒绝。</w:t>
      </w:r>
    </w:p>
    <w:p>
      <w:pPr>
        <w:pStyle w:val="7"/>
        <w:pageBreakBefore w:val="0"/>
        <w:widowControl w:val="0"/>
        <w:kinsoku/>
        <w:wordWrap/>
        <w:overflowPunct/>
        <w:topLinePunct w:val="0"/>
        <w:autoSpaceDE/>
        <w:autoSpaceDN/>
        <w:bidi w:val="0"/>
        <w:adjustRightInd/>
        <w:snapToGri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rPr>
      </w:pPr>
      <w:bookmarkStart w:id="892" w:name="_Toc40723450"/>
      <w:bookmarkStart w:id="893" w:name="_Toc506107328"/>
      <w:bookmarkStart w:id="894" w:name="_Toc27327"/>
      <w:bookmarkStart w:id="895" w:name="_Toc10617"/>
      <w:bookmarkStart w:id="896" w:name="_Toc32517"/>
      <w:bookmarkStart w:id="897" w:name="_Toc15592"/>
      <w:bookmarkStart w:id="898" w:name="_Toc11441"/>
      <w:bookmarkStart w:id="899" w:name="_Toc20246"/>
      <w:bookmarkStart w:id="900" w:name="_Toc15058922"/>
      <w:r>
        <w:rPr>
          <w:rFonts w:hint="eastAsia" w:ascii="宋体" w:hAnsi="宋体" w:eastAsia="宋体" w:cs="宋体"/>
          <w:color w:val="auto"/>
          <w:sz w:val="21"/>
          <w:szCs w:val="21"/>
          <w:highlight w:val="none"/>
        </w:rPr>
        <w:t>5.无效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条款</w:t>
      </w:r>
      <w:bookmarkEnd w:id="891"/>
      <w:bookmarkEnd w:id="892"/>
      <w:bookmarkEnd w:id="893"/>
      <w:bookmarkEnd w:id="894"/>
      <w:bookmarkEnd w:id="895"/>
      <w:bookmarkEnd w:id="896"/>
      <w:bookmarkEnd w:id="897"/>
      <w:bookmarkEnd w:id="898"/>
      <w:bookmarkEnd w:id="899"/>
      <w:bookmarkEnd w:id="900"/>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bookmarkStart w:id="901" w:name="_Toc11109"/>
      <w:bookmarkStart w:id="902" w:name="_Toc15058923"/>
      <w:bookmarkStart w:id="903" w:name="_Toc324404877"/>
      <w:bookmarkStart w:id="904" w:name="_Toc10033"/>
      <w:bookmarkStart w:id="905" w:name="_Toc8406"/>
      <w:bookmarkStart w:id="906" w:name="_Toc506107329"/>
      <w:bookmarkStart w:id="907" w:name="_Toc22752"/>
      <w:bookmarkStart w:id="908" w:name="_Toc13567"/>
      <w:bookmarkStart w:id="909" w:name="_Toc12692"/>
      <w:bookmarkStart w:id="910" w:name="_Toc40723451"/>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文件有下列情形之一的,其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文件拒收:</w:t>
      </w:r>
    </w:p>
    <w:p>
      <w:pPr>
        <w:pageBreakBefore w:val="0"/>
        <w:widowControl w:val="0"/>
        <w:kinsoku/>
        <w:wordWrap/>
        <w:overflowPunct/>
        <w:topLinePunct w:val="0"/>
        <w:autoSpaceDE/>
        <w:autoSpaceDN/>
        <w:bidi w:val="0"/>
        <w:adjustRightInd/>
        <w:snapToGrid w:val="0"/>
        <w:spacing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 未在</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截止时间前</w:t>
      </w:r>
      <w:r>
        <w:rPr>
          <w:rFonts w:hint="eastAsia" w:ascii="宋体" w:hAnsi="宋体" w:cs="宋体"/>
          <w:b/>
          <w:bCs/>
          <w:color w:val="auto"/>
          <w:szCs w:val="21"/>
          <w:highlight w:val="none"/>
          <w:lang w:eastAsia="zh-CN"/>
        </w:rPr>
        <w:t>递交</w:t>
      </w:r>
      <w:r>
        <w:rPr>
          <w:rFonts w:hint="eastAsia" w:ascii="宋体" w:hAnsi="宋体" w:eastAsia="宋体" w:cs="宋体"/>
          <w:b/>
          <w:bCs/>
          <w:color w:val="auto"/>
          <w:szCs w:val="21"/>
          <w:highlight w:val="none"/>
        </w:rPr>
        <w:t>有效</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文件的，</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将被拒绝。</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有下列情形之一的,资格审查后其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作无效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处理：</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为本项目提供招标代理服务的；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与在本项目代理机构存在相互任职或工作的；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rPr>
        <w:t>评标专家无法查看并检验投标文件中相关资料的；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)被暂停营业的；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)被暂停或取消投标资格的；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)财产被接管或冻结的；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)投标人单位负责人为同一人或者存在控股、管理关系的不同单位的；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基本资格条件和特定资格条件中有一项及以上不符合要求的；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 其它情形，经</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提出按无效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处理；</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单方面出现其他投标人材料的；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文件规定的其它无效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情形。</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8.3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有下列情形之一的,符合性审查后其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按无效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处理：</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文件签字、盖章不全，经</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一致认定对</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内容有实质性影响的；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(2)未按规定的格式填写，实质性内容不全或关键字迹模糊、无法辨认的；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(3)同一</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提交两个以上不同的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文件或者</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报价，但</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文件规定提交备选方案的除外；</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文件没有对</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文件的实质性要求和条件作出响应；</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报价超出规定的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rPr>
        <w:t>限价或公布的采购预算的或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报价各项单价高于</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文件给定的单价最高限价；</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(6)不按</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要求澄清、说明或补正的，或者</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文件的规定对</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文件的计算错误进行修正后，</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不接受修正的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报价的。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提出按无效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处理的；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文件含有采购人不能接受的附加条件的；</w:t>
      </w:r>
    </w:p>
    <w:p>
      <w:pPr>
        <w:pageBreakBefore w:val="0"/>
        <w:widowControl w:val="0"/>
        <w:tabs>
          <w:tab w:val="left" w:pos="1123"/>
        </w:tabs>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文件规定的其它无效投标情形。</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8.4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有下列情形之一的, 详细评审后其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按无效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处理：</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产品不符合必须强制执行的国家标准的；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有串通投标、弄虚作假、行贿等违法行为；</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文件含有违反国家法律、法规的内容，或附有采购人不能接受的条件的；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(4)在同一项目（或同一标段）中有多个</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有效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报价接近最高限价，且评标委员会认为报价出现异常的，可以宣布其投标无效；</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，且不能证明报价合理性的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无效；</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评审修正的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无效；</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提出按无效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处理的；</w:t>
      </w:r>
    </w:p>
    <w:p>
      <w:pPr>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文件规定的其它无效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情形。</w:t>
      </w:r>
    </w:p>
    <w:p>
      <w:pPr>
        <w:pStyle w:val="7"/>
        <w:pageBreakBefore w:val="0"/>
        <w:widowControl w:val="0"/>
        <w:kinsoku/>
        <w:wordWrap/>
        <w:overflowPunct/>
        <w:topLinePunct w:val="0"/>
        <w:autoSpaceDE/>
        <w:autoSpaceDN/>
        <w:bidi w:val="0"/>
        <w:adjustRightInd/>
        <w:snapToGri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6.响应文件的澄清和补正</w:t>
      </w:r>
      <w:bookmarkEnd w:id="901"/>
      <w:bookmarkEnd w:id="902"/>
      <w:bookmarkEnd w:id="903"/>
      <w:bookmarkEnd w:id="904"/>
      <w:bookmarkEnd w:id="905"/>
      <w:bookmarkEnd w:id="906"/>
      <w:bookmarkEnd w:id="907"/>
      <w:bookmarkEnd w:id="908"/>
      <w:bookmarkEnd w:id="909"/>
      <w:bookmarkEnd w:id="910"/>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6.1在</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过程中，谈判小组可书面形式要求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对所提交的响应文件中不明确的内容进行书面澄清或说明，或者对细微偏差进行补正。谈判小组不接受</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主动提出的澄清、说明或补正。</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6.2澄清、说明和补正不得改变响应文件的实质性内容（算术性错误修正的除外）。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的书面澄清、说明和补正属于响应文件的组成部分。</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6.3谈判小组对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提交的澄清、说明和补正有疑问的，可以要求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进一步澄清、说明或补正、直至满足谈判小组的要求。</w:t>
      </w:r>
    </w:p>
    <w:p>
      <w:pPr>
        <w:pageBreakBefore w:val="0"/>
        <w:widowControl w:val="0"/>
        <w:kinsoku/>
        <w:wordWrap/>
        <w:overflowPunct/>
        <w:topLinePunct w:val="0"/>
        <w:autoSpaceDE/>
        <w:autoSpaceDN/>
        <w:bidi w:val="0"/>
        <w:adjustRightInd/>
        <w:snapToGrid/>
        <w:spacing w:line="44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911" w:name="_Toc40723452"/>
      <w:bookmarkStart w:id="912" w:name="_Toc324404878"/>
      <w:bookmarkStart w:id="913" w:name="_Toc20623"/>
      <w:bookmarkStart w:id="914" w:name="_Toc5850"/>
      <w:bookmarkStart w:id="915" w:name="_Toc3069"/>
      <w:bookmarkStart w:id="916" w:name="_Toc4096"/>
      <w:bookmarkStart w:id="917" w:name="_Toc15058924"/>
      <w:bookmarkStart w:id="918" w:name="_Toc30909"/>
      <w:bookmarkStart w:id="919" w:name="_Toc2437"/>
      <w:bookmarkStart w:id="920" w:name="_Toc506107330"/>
      <w:r>
        <w:rPr>
          <w:rFonts w:hint="eastAsia" w:ascii="宋体" w:hAnsi="宋体" w:eastAsia="宋体" w:cs="宋体"/>
          <w:b/>
          <w:bCs/>
          <w:color w:val="auto"/>
          <w:kern w:val="0"/>
          <w:sz w:val="21"/>
          <w:szCs w:val="21"/>
          <w:highlight w:val="none"/>
          <w:lang w:val="en-US" w:eastAsia="zh-CN" w:bidi="ar-SA"/>
        </w:rPr>
        <w:t>7.</w:t>
      </w:r>
      <w:bookmarkEnd w:id="911"/>
      <w:bookmarkEnd w:id="912"/>
      <w:bookmarkEnd w:id="913"/>
      <w:bookmarkEnd w:id="914"/>
      <w:bookmarkEnd w:id="915"/>
      <w:bookmarkEnd w:id="916"/>
      <w:bookmarkEnd w:id="917"/>
      <w:bookmarkEnd w:id="918"/>
      <w:bookmarkEnd w:id="919"/>
      <w:bookmarkEnd w:id="920"/>
      <w:bookmarkStart w:id="921" w:name="_Toc21461"/>
      <w:bookmarkStart w:id="922" w:name="_Toc15058925"/>
      <w:bookmarkStart w:id="923" w:name="_Toc506107331"/>
      <w:bookmarkStart w:id="924" w:name="_Toc11395"/>
      <w:bookmarkStart w:id="925" w:name="_Toc20824"/>
      <w:bookmarkStart w:id="926" w:name="_Toc324404879"/>
      <w:bookmarkStart w:id="927" w:name="_Toc40723453"/>
      <w:bookmarkStart w:id="928" w:name="_Toc5791"/>
      <w:bookmarkStart w:id="929" w:name="_Toc21719"/>
      <w:bookmarkStart w:id="930" w:name="_Toc22054"/>
      <w:r>
        <w:rPr>
          <w:rFonts w:hint="eastAsia" w:ascii="宋体" w:hAnsi="宋体" w:eastAsia="宋体" w:cs="宋体"/>
          <w:b/>
          <w:bCs/>
          <w:color w:val="auto"/>
          <w:kern w:val="0"/>
          <w:sz w:val="21"/>
          <w:szCs w:val="21"/>
          <w:highlight w:val="none"/>
          <w:lang w:val="en-US" w:eastAsia="zh-CN" w:bidi="ar-SA"/>
        </w:rPr>
        <w:t>评审结果</w:t>
      </w:r>
      <w:bookmarkEnd w:id="921"/>
      <w:bookmarkEnd w:id="922"/>
      <w:bookmarkEnd w:id="923"/>
      <w:bookmarkEnd w:id="924"/>
      <w:bookmarkEnd w:id="925"/>
      <w:bookmarkEnd w:id="926"/>
      <w:bookmarkEnd w:id="927"/>
      <w:bookmarkEnd w:id="928"/>
      <w:bookmarkEnd w:id="929"/>
      <w:bookmarkEnd w:id="930"/>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.1除第二章</w:t>
      </w:r>
      <w:r>
        <w:rPr>
          <w:rFonts w:hint="eastAsia" w:ascii="宋体" w:hAnsi="宋体" w:eastAsia="宋体" w:cs="宋体"/>
          <w:color w:val="auto"/>
          <w:szCs w:val="21"/>
          <w:highlight w:val="none"/>
          <w:lang w:eastAsia="zh-CN"/>
        </w:rPr>
        <w:t>供应商须知</w:t>
      </w:r>
      <w:r>
        <w:rPr>
          <w:rFonts w:hint="eastAsia" w:ascii="宋体" w:hAnsi="宋体" w:eastAsia="宋体" w:cs="宋体"/>
          <w:color w:val="auto"/>
          <w:szCs w:val="21"/>
          <w:highlight w:val="none"/>
        </w:rPr>
        <w:t>前附表授权直接确定成交供应商外，谈判小组按照最</w:t>
      </w:r>
      <w:r>
        <w:rPr>
          <w:rFonts w:hint="eastAsia" w:ascii="宋体" w:hAnsi="宋体" w:eastAsia="宋体" w:cs="宋体"/>
          <w:color w:val="auto"/>
          <w:szCs w:val="21"/>
          <w:highlight w:val="none"/>
          <w:lang w:val="en-US" w:eastAsia="zh-CN"/>
        </w:rPr>
        <w:t>后</w:t>
      </w:r>
      <w:r>
        <w:rPr>
          <w:rFonts w:hint="eastAsia" w:ascii="宋体" w:hAnsi="宋体" w:eastAsia="宋体" w:cs="宋体"/>
          <w:color w:val="auto"/>
          <w:szCs w:val="21"/>
          <w:highlight w:val="none"/>
        </w:rPr>
        <w:t>报价从低到高顺序推荐</w:t>
      </w:r>
      <w:r>
        <w:rPr>
          <w:rFonts w:hint="eastAsia" w:ascii="宋体" w:hAnsi="宋体" w:eastAsia="宋体" w:cs="宋体"/>
          <w:color w:val="auto"/>
          <w:szCs w:val="21"/>
          <w:highlight w:val="none"/>
          <w:lang w:eastAsia="zh-CN"/>
        </w:rPr>
        <w:t>成交候选供应商</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.2谈判小组完成评标后，应当向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提交书面评标报告。评标报告应当如实记载以下内容：</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（2）谈判小组成员名单。</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记录。</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一览表。</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无效响应</w:t>
      </w:r>
      <w:r>
        <w:rPr>
          <w:rFonts w:hint="eastAsia" w:ascii="宋体" w:hAnsi="宋体" w:eastAsia="宋体" w:cs="宋体"/>
          <w:color w:val="auto"/>
          <w:szCs w:val="21"/>
          <w:highlight w:val="none"/>
        </w:rPr>
        <w:t>情况说明。</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标准、</w:t>
      </w:r>
      <w:r>
        <w:rPr>
          <w:rFonts w:hint="eastAsia" w:ascii="宋体" w:hAnsi="宋体" w:eastAsia="宋体" w:cs="宋体"/>
          <w:color w:val="auto"/>
          <w:szCs w:val="21"/>
          <w:highlight w:val="none"/>
          <w:lang w:eastAsia="zh-CN"/>
        </w:rPr>
        <w:t>评审方法</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因素。</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（7）经评审的价格一览表。</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（8）经评审的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排序。</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（9）推荐的</w:t>
      </w:r>
      <w:r>
        <w:rPr>
          <w:rFonts w:hint="eastAsia" w:ascii="宋体" w:hAnsi="宋体" w:eastAsia="宋体" w:cs="宋体"/>
          <w:color w:val="auto"/>
          <w:szCs w:val="21"/>
          <w:highlight w:val="none"/>
          <w:lang w:eastAsia="zh-CN"/>
        </w:rPr>
        <w:t>成交候选供应商</w:t>
      </w:r>
      <w:r>
        <w:rPr>
          <w:rFonts w:hint="eastAsia" w:ascii="宋体" w:hAnsi="宋体" w:eastAsia="宋体" w:cs="宋体"/>
          <w:color w:val="auto"/>
          <w:szCs w:val="21"/>
          <w:highlight w:val="none"/>
        </w:rPr>
        <w:t>名单与签订合同前要处理的事宜。</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（10）澄清、说明、补正事项纪要。</w:t>
      </w:r>
    </w:p>
    <w:p>
      <w:pPr>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.3谈判小组推荐的</w:t>
      </w:r>
      <w:r>
        <w:rPr>
          <w:rFonts w:hint="eastAsia" w:ascii="宋体" w:hAnsi="宋体" w:eastAsia="宋体" w:cs="宋体"/>
          <w:color w:val="auto"/>
          <w:szCs w:val="21"/>
          <w:highlight w:val="none"/>
          <w:lang w:eastAsia="zh-CN"/>
        </w:rPr>
        <w:t>成交候选供应商</w:t>
      </w:r>
      <w:r>
        <w:rPr>
          <w:rFonts w:hint="eastAsia" w:ascii="宋体" w:hAnsi="宋体" w:eastAsia="宋体" w:cs="宋体"/>
          <w:color w:val="auto"/>
          <w:szCs w:val="21"/>
          <w:highlight w:val="none"/>
          <w:lang w:val="en-US" w:eastAsia="zh-CN"/>
        </w:rPr>
        <w:t>每标包</w:t>
      </w:r>
      <w:r>
        <w:rPr>
          <w:rFonts w:hint="eastAsia" w:ascii="宋体" w:hAnsi="宋体" w:eastAsia="宋体" w:cs="宋体"/>
          <w:color w:val="auto"/>
          <w:szCs w:val="21"/>
          <w:highlight w:val="none"/>
        </w:rPr>
        <w:t>应当限定在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名。</w:t>
      </w:r>
    </w:p>
    <w:p>
      <w:pPr>
        <w:pStyle w:val="7"/>
        <w:pageBreakBefore w:val="0"/>
        <w:widowControl w:val="0"/>
        <w:kinsoku/>
        <w:wordWrap/>
        <w:overflowPunct/>
        <w:topLinePunct w:val="0"/>
        <w:autoSpaceDE/>
        <w:autoSpaceDN/>
        <w:bidi w:val="0"/>
        <w:adjustRightInd/>
        <w:spacing w:before="0" w:beforeLines="0" w:after="0" w:afterLines="0" w:line="440" w:lineRule="exact"/>
        <w:ind w:right="0" w:rightChars="0" w:firstLine="422" w:firstLineChars="200"/>
        <w:textAlignment w:val="auto"/>
        <w:rPr>
          <w:rFonts w:hint="eastAsia" w:ascii="宋体" w:hAnsi="宋体" w:eastAsia="宋体" w:cs="宋体"/>
          <w:color w:val="auto"/>
          <w:sz w:val="21"/>
          <w:szCs w:val="21"/>
          <w:highlight w:val="none"/>
        </w:rPr>
      </w:pPr>
      <w:bookmarkStart w:id="931" w:name="_Toc23363"/>
      <w:bookmarkStart w:id="932" w:name="_Toc28324"/>
      <w:bookmarkStart w:id="933" w:name="_Toc324404880"/>
      <w:bookmarkStart w:id="934" w:name="_Toc20357"/>
      <w:bookmarkStart w:id="935" w:name="_Toc40723454"/>
      <w:bookmarkStart w:id="936" w:name="_Toc506107332"/>
      <w:bookmarkStart w:id="937" w:name="_Toc23410"/>
      <w:bookmarkStart w:id="938" w:name="_Toc14381"/>
      <w:bookmarkStart w:id="939" w:name="_Toc21701"/>
      <w:bookmarkStart w:id="940" w:name="_Toc15058926"/>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其他</w:t>
      </w:r>
      <w:bookmarkEnd w:id="931"/>
      <w:bookmarkEnd w:id="932"/>
      <w:bookmarkEnd w:id="933"/>
      <w:bookmarkEnd w:id="934"/>
      <w:bookmarkEnd w:id="935"/>
      <w:bookmarkEnd w:id="936"/>
      <w:bookmarkEnd w:id="937"/>
      <w:bookmarkEnd w:id="938"/>
      <w:bookmarkEnd w:id="939"/>
      <w:bookmarkEnd w:id="940"/>
    </w:p>
    <w:p>
      <w:pPr>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提供的与响应文件有关的各类证书、证明、文件、资料等的真实性、合法性由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负全责。</w:t>
      </w:r>
      <w:bookmarkEnd w:id="837"/>
      <w:bookmarkEnd w:id="838"/>
      <w:bookmarkEnd w:id="839"/>
      <w:bookmarkEnd w:id="840"/>
      <w:bookmarkEnd w:id="841"/>
      <w:bookmarkEnd w:id="842"/>
      <w:bookmarkEnd w:id="843"/>
      <w:bookmarkEnd w:id="844"/>
    </w:p>
    <w:bookmarkEnd w:id="55"/>
    <w:bookmarkEnd w:id="56"/>
    <w:bookmarkEnd w:id="57"/>
    <w:bookmarkEnd w:id="58"/>
    <w:bookmarkEnd w:id="59"/>
    <w:bookmarkEnd w:id="60"/>
    <w:bookmarkEnd w:id="61"/>
    <w:p>
      <w:pPr>
        <w:keepNext w:val="0"/>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hint="eastAsia" w:ascii="宋体" w:hAnsi="宋体" w:cs="宋体"/>
          <w:b/>
          <w:bCs/>
          <w:color w:val="auto"/>
          <w:sz w:val="32"/>
          <w:szCs w:val="32"/>
          <w:highlight w:val="none"/>
          <w:lang w:val="en-US" w:eastAsia="zh-CN"/>
        </w:rPr>
      </w:pPr>
      <w:bookmarkStart w:id="941" w:name="_Toc14746"/>
      <w:bookmarkStart w:id="942" w:name="_Toc20195"/>
      <w:bookmarkStart w:id="943" w:name="_Toc14806"/>
      <w:bookmarkStart w:id="944" w:name="_Toc21564"/>
      <w:bookmarkStart w:id="945" w:name="_Toc506107333"/>
      <w:bookmarkStart w:id="946" w:name="_Toc40723455"/>
      <w:bookmarkStart w:id="947" w:name="_Toc29266"/>
      <w:bookmarkStart w:id="948" w:name="_Toc15058927"/>
      <w:bookmarkStart w:id="949" w:name="_Toc27377"/>
      <w:r>
        <w:rPr>
          <w:rFonts w:hint="eastAsia" w:ascii="宋体" w:hAnsi="宋体" w:cs="宋体"/>
          <w:b/>
          <w:bCs/>
          <w:color w:val="auto"/>
          <w:sz w:val="32"/>
          <w:szCs w:val="32"/>
          <w:highlight w:val="none"/>
          <w:lang w:val="en-US" w:eastAsia="zh-CN"/>
        </w:rPr>
        <w:t>第五章 采购内容及服务要求</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（一）</w:t>
      </w:r>
      <w:r>
        <w:rPr>
          <w:rFonts w:hint="eastAsia" w:hAnsi="宋体" w:cs="Times New Roman"/>
          <w:b w:val="0"/>
          <w:bCs w:val="0"/>
          <w:color w:val="000000"/>
          <w:kern w:val="2"/>
          <w:sz w:val="21"/>
          <w:szCs w:val="21"/>
          <w:highlight w:val="none"/>
          <w:u w:val="none" w:color="000000"/>
          <w:lang w:val="en-US" w:eastAsia="zh-CN" w:bidi="ar-SA"/>
        </w:rPr>
        <w:t>采购清单</w:t>
      </w:r>
    </w:p>
    <w:tbl>
      <w:tblPr>
        <w:tblStyle w:val="78"/>
        <w:tblW w:w="91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1253"/>
        <w:gridCol w:w="1005"/>
        <w:gridCol w:w="930"/>
        <w:gridCol w:w="1349"/>
        <w:gridCol w:w="3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jc w:val="center"/>
        </w:trPr>
        <w:tc>
          <w:tcPr>
            <w:tcW w:w="937" w:type="dxa"/>
            <w:vAlign w:val="top"/>
          </w:tcPr>
          <w:p>
            <w:pPr>
              <w:kinsoku w:val="0"/>
              <w:autoSpaceDE w:val="0"/>
              <w:autoSpaceDN w:val="0"/>
              <w:adjustRightInd w:val="0"/>
              <w:snapToGrid w:val="0"/>
              <w:spacing w:before="180" w:line="221" w:lineRule="auto"/>
              <w:ind w:left="112"/>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序号</w:t>
            </w:r>
          </w:p>
        </w:tc>
        <w:tc>
          <w:tcPr>
            <w:tcW w:w="1253" w:type="dxa"/>
            <w:vAlign w:val="top"/>
          </w:tcPr>
          <w:p>
            <w:pPr>
              <w:kinsoku w:val="0"/>
              <w:autoSpaceDE w:val="0"/>
              <w:autoSpaceDN w:val="0"/>
              <w:adjustRightInd w:val="0"/>
              <w:snapToGrid w:val="0"/>
              <w:spacing w:before="180" w:line="219" w:lineRule="auto"/>
              <w:ind w:left="127"/>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货物名称</w:t>
            </w:r>
          </w:p>
        </w:tc>
        <w:tc>
          <w:tcPr>
            <w:tcW w:w="1005" w:type="dxa"/>
            <w:vAlign w:val="top"/>
          </w:tcPr>
          <w:p>
            <w:pPr>
              <w:kinsoku w:val="0"/>
              <w:autoSpaceDE w:val="0"/>
              <w:autoSpaceDN w:val="0"/>
              <w:adjustRightInd w:val="0"/>
              <w:snapToGrid w:val="0"/>
              <w:spacing w:before="179" w:line="219" w:lineRule="auto"/>
              <w:ind w:left="132"/>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4"/>
                <w:kern w:val="0"/>
                <w:sz w:val="21"/>
                <w:szCs w:val="21"/>
                <w:lang w:val="en-US" w:eastAsia="en-US" w:bidi="ar-SA"/>
              </w:rPr>
              <w:t>幅数</w:t>
            </w:r>
          </w:p>
        </w:tc>
        <w:tc>
          <w:tcPr>
            <w:tcW w:w="930" w:type="dxa"/>
            <w:vAlign w:val="top"/>
          </w:tcPr>
          <w:p>
            <w:pPr>
              <w:kinsoku w:val="0"/>
              <w:autoSpaceDE w:val="0"/>
              <w:autoSpaceDN w:val="0"/>
              <w:adjustRightInd w:val="0"/>
              <w:snapToGrid w:val="0"/>
              <w:spacing w:before="179" w:line="220" w:lineRule="auto"/>
              <w:ind w:left="127"/>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数量</w:t>
            </w:r>
          </w:p>
        </w:tc>
        <w:tc>
          <w:tcPr>
            <w:tcW w:w="1349" w:type="dxa"/>
            <w:vAlign w:val="top"/>
          </w:tcPr>
          <w:p>
            <w:pPr>
              <w:kinsoku w:val="0"/>
              <w:autoSpaceDE w:val="0"/>
              <w:autoSpaceDN w:val="0"/>
              <w:adjustRightInd w:val="0"/>
              <w:snapToGrid w:val="0"/>
              <w:spacing w:before="179" w:line="221" w:lineRule="auto"/>
              <w:ind w:left="128"/>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单位</w:t>
            </w:r>
          </w:p>
        </w:tc>
        <w:tc>
          <w:tcPr>
            <w:tcW w:w="3711" w:type="dxa"/>
            <w:vAlign w:val="top"/>
          </w:tcPr>
          <w:p>
            <w:pPr>
              <w:kinsoku w:val="0"/>
              <w:autoSpaceDE w:val="0"/>
              <w:autoSpaceDN w:val="0"/>
              <w:adjustRightInd w:val="0"/>
              <w:snapToGrid w:val="0"/>
              <w:spacing w:before="104" w:line="221" w:lineRule="auto"/>
              <w:ind w:left="133"/>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37" w:type="dxa"/>
            <w:vAlign w:val="top"/>
          </w:tcPr>
          <w:p>
            <w:pPr>
              <w:kinsoku w:val="0"/>
              <w:autoSpaceDE w:val="0"/>
              <w:autoSpaceDN w:val="0"/>
              <w:adjustRightInd w:val="0"/>
              <w:snapToGrid w:val="0"/>
              <w:spacing w:before="298" w:line="182" w:lineRule="auto"/>
              <w:ind w:left="128"/>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1</w:t>
            </w:r>
          </w:p>
        </w:tc>
        <w:tc>
          <w:tcPr>
            <w:tcW w:w="1253" w:type="dxa"/>
            <w:vAlign w:val="top"/>
          </w:tcPr>
          <w:p>
            <w:pPr>
              <w:kinsoku w:val="0"/>
              <w:autoSpaceDE w:val="0"/>
              <w:autoSpaceDN w:val="0"/>
              <w:adjustRightInd w:val="0"/>
              <w:snapToGrid w:val="0"/>
              <w:spacing w:before="264" w:line="219" w:lineRule="auto"/>
              <w:ind w:left="122"/>
              <w:jc w:val="left"/>
              <w:textAlignment w:val="baseline"/>
              <w:rPr>
                <w:rFonts w:ascii="宋体" w:hAnsi="宋体" w:eastAsia="宋体" w:cs="宋体"/>
                <w:snapToGrid w:val="0"/>
                <w:color w:val="auto"/>
                <w:kern w:val="0"/>
                <w:sz w:val="21"/>
                <w:szCs w:val="21"/>
                <w:lang w:val="en-US" w:eastAsia="en-US" w:bidi="ar-SA"/>
              </w:rPr>
            </w:pPr>
            <w:r>
              <w:rPr>
                <w:rFonts w:ascii="宋体" w:hAnsi="宋体" w:eastAsia="宋体" w:cs="宋体"/>
                <w:snapToGrid w:val="0"/>
                <w:color w:val="auto"/>
                <w:spacing w:val="-3"/>
                <w:kern w:val="0"/>
                <w:sz w:val="21"/>
                <w:szCs w:val="21"/>
                <w:lang w:val="en-US" w:eastAsia="en-US" w:bidi="ar-SA"/>
              </w:rPr>
              <w:t>布帘</w:t>
            </w:r>
          </w:p>
        </w:tc>
        <w:tc>
          <w:tcPr>
            <w:tcW w:w="1005" w:type="dxa"/>
            <w:vAlign w:val="top"/>
          </w:tcPr>
          <w:p>
            <w:pPr>
              <w:kinsoku w:val="0"/>
              <w:autoSpaceDE w:val="0"/>
              <w:autoSpaceDN w:val="0"/>
              <w:adjustRightInd w:val="0"/>
              <w:snapToGrid w:val="0"/>
              <w:spacing w:before="298" w:line="182" w:lineRule="auto"/>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w:t>
            </w:r>
          </w:p>
        </w:tc>
        <w:tc>
          <w:tcPr>
            <w:tcW w:w="930" w:type="dxa"/>
            <w:vAlign w:val="top"/>
          </w:tcPr>
          <w:p>
            <w:pPr>
              <w:kinsoku w:val="0"/>
              <w:autoSpaceDE w:val="0"/>
              <w:autoSpaceDN w:val="0"/>
              <w:adjustRightInd w:val="0"/>
              <w:snapToGrid w:val="0"/>
              <w:spacing w:before="299" w:line="181" w:lineRule="auto"/>
              <w:ind w:left="126"/>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300</w:t>
            </w:r>
          </w:p>
        </w:tc>
        <w:tc>
          <w:tcPr>
            <w:tcW w:w="1349" w:type="dxa"/>
            <w:vAlign w:val="top"/>
          </w:tcPr>
          <w:p>
            <w:pPr>
              <w:kinsoku w:val="0"/>
              <w:autoSpaceDE w:val="0"/>
              <w:autoSpaceDN w:val="0"/>
              <w:adjustRightInd w:val="0"/>
              <w:snapToGrid w:val="0"/>
              <w:spacing w:before="263" w:line="220" w:lineRule="auto"/>
              <w:ind w:left="126"/>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米</w:t>
            </w:r>
          </w:p>
        </w:tc>
        <w:tc>
          <w:tcPr>
            <w:tcW w:w="3711" w:type="dxa"/>
            <w:vAlign w:val="top"/>
          </w:tcPr>
          <w:p>
            <w:pPr>
              <w:keepNext w:val="0"/>
              <w:keepLines w:val="0"/>
              <w:widowControl/>
              <w:suppressLineNumbers w:val="0"/>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1"/>
                <w:szCs w:val="21"/>
                <w:lang w:val="en-US" w:eastAsia="zh-CN"/>
              </w:rPr>
            </w:pPr>
            <w:r>
              <w:rPr>
                <w:rFonts w:hint="eastAsia" w:ascii="Arial" w:hAnsi="Arial" w:eastAsia="Arial" w:cs="Arial"/>
                <w:snapToGrid w:val="0"/>
                <w:color w:val="000000"/>
                <w:kern w:val="0"/>
                <w:sz w:val="21"/>
                <w:szCs w:val="21"/>
                <w:lang w:val="en-US" w:eastAsia="zh-CN"/>
              </w:rPr>
              <w:t>单位米为墙面投影米数，实际</w:t>
            </w:r>
            <w:r>
              <w:rPr>
                <w:rFonts w:hint="eastAsia" w:ascii="宋体" w:hAnsi="宋体" w:eastAsia="宋体" w:cs="宋体"/>
                <w:snapToGrid w:val="0"/>
                <w:color w:val="000000"/>
                <w:kern w:val="0"/>
                <w:sz w:val="21"/>
                <w:szCs w:val="21"/>
                <w:lang w:val="en-US" w:eastAsia="zh-CN" w:bidi="ar"/>
              </w:rPr>
              <w:t>窗帘长度按展开延长米计算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37" w:type="dxa"/>
            <w:vAlign w:val="top"/>
          </w:tcPr>
          <w:p>
            <w:pPr>
              <w:kinsoku w:val="0"/>
              <w:autoSpaceDE w:val="0"/>
              <w:autoSpaceDN w:val="0"/>
              <w:adjustRightInd w:val="0"/>
              <w:snapToGrid w:val="0"/>
              <w:spacing w:before="302" w:line="181" w:lineRule="auto"/>
              <w:ind w:left="117"/>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w:t>
            </w:r>
          </w:p>
        </w:tc>
        <w:tc>
          <w:tcPr>
            <w:tcW w:w="1253" w:type="dxa"/>
            <w:vAlign w:val="top"/>
          </w:tcPr>
          <w:p>
            <w:pPr>
              <w:kinsoku w:val="0"/>
              <w:autoSpaceDE w:val="0"/>
              <w:autoSpaceDN w:val="0"/>
              <w:adjustRightInd w:val="0"/>
              <w:snapToGrid w:val="0"/>
              <w:spacing w:before="266" w:line="221" w:lineRule="auto"/>
              <w:ind w:left="132"/>
              <w:jc w:val="left"/>
              <w:textAlignment w:val="baseline"/>
              <w:rPr>
                <w:rFonts w:ascii="宋体" w:hAnsi="宋体" w:eastAsia="宋体" w:cs="宋体"/>
                <w:snapToGrid w:val="0"/>
                <w:color w:val="auto"/>
                <w:kern w:val="0"/>
                <w:sz w:val="21"/>
                <w:szCs w:val="21"/>
                <w:lang w:val="en-US" w:eastAsia="en-US" w:bidi="ar-SA"/>
              </w:rPr>
            </w:pPr>
            <w:r>
              <w:rPr>
                <w:rFonts w:ascii="宋体" w:hAnsi="宋体" w:eastAsia="宋体" w:cs="宋体"/>
                <w:snapToGrid w:val="0"/>
                <w:color w:val="auto"/>
                <w:spacing w:val="-4"/>
                <w:kern w:val="0"/>
                <w:sz w:val="21"/>
                <w:szCs w:val="21"/>
                <w:lang w:val="en-US" w:eastAsia="en-US" w:bidi="ar-SA"/>
              </w:rPr>
              <w:t>医用隔帘</w:t>
            </w:r>
          </w:p>
        </w:tc>
        <w:tc>
          <w:tcPr>
            <w:tcW w:w="1005" w:type="dxa"/>
            <w:vAlign w:val="top"/>
          </w:tcPr>
          <w:p>
            <w:pPr>
              <w:kinsoku w:val="0"/>
              <w:autoSpaceDE w:val="0"/>
              <w:autoSpaceDN w:val="0"/>
              <w:adjustRightInd w:val="0"/>
              <w:snapToGrid w:val="0"/>
              <w:spacing w:before="302" w:line="181" w:lineRule="auto"/>
              <w:ind w:left="128"/>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6</w:t>
            </w:r>
          </w:p>
        </w:tc>
        <w:tc>
          <w:tcPr>
            <w:tcW w:w="930" w:type="dxa"/>
            <w:vAlign w:val="top"/>
          </w:tcPr>
          <w:p>
            <w:pPr>
              <w:kinsoku w:val="0"/>
              <w:autoSpaceDE w:val="0"/>
              <w:autoSpaceDN w:val="0"/>
              <w:adjustRightInd w:val="0"/>
              <w:snapToGrid w:val="0"/>
              <w:spacing w:before="302" w:line="181" w:lineRule="auto"/>
              <w:ind w:left="128"/>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30</w:t>
            </w:r>
          </w:p>
        </w:tc>
        <w:tc>
          <w:tcPr>
            <w:tcW w:w="1349" w:type="dxa"/>
            <w:vAlign w:val="top"/>
          </w:tcPr>
          <w:p>
            <w:pPr>
              <w:kinsoku w:val="0"/>
              <w:autoSpaceDE w:val="0"/>
              <w:autoSpaceDN w:val="0"/>
              <w:adjustRightInd w:val="0"/>
              <w:snapToGrid w:val="0"/>
              <w:spacing w:before="266" w:line="220" w:lineRule="auto"/>
              <w:ind w:left="126"/>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米</w:t>
            </w:r>
          </w:p>
        </w:tc>
        <w:tc>
          <w:tcPr>
            <w:tcW w:w="3711" w:type="dxa"/>
            <w:vAlign w:val="top"/>
          </w:tcPr>
          <w:p>
            <w:pPr>
              <w:kinsoku w:val="0"/>
              <w:autoSpaceDE w:val="0"/>
              <w:autoSpaceDN w:val="0"/>
              <w:adjustRightInd w:val="0"/>
              <w:snapToGrid w:val="0"/>
              <w:spacing w:before="86" w:line="267" w:lineRule="auto"/>
              <w:ind w:right="90"/>
              <w:jc w:val="left"/>
              <w:textAlignment w:val="baseline"/>
              <w:rPr>
                <w:rFonts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zh-CN" w:bidi="ar-SA"/>
              </w:rPr>
              <w:t>单位米为墙面投影米数，实际</w:t>
            </w:r>
            <w:r>
              <w:rPr>
                <w:rFonts w:hint="eastAsia" w:ascii="宋体" w:hAnsi="宋体" w:eastAsia="宋体" w:cs="宋体"/>
                <w:snapToGrid w:val="0"/>
                <w:color w:val="000000"/>
                <w:kern w:val="0"/>
                <w:sz w:val="21"/>
                <w:szCs w:val="21"/>
                <w:lang w:val="en-US" w:eastAsia="zh-CN" w:bidi="ar"/>
              </w:rPr>
              <w:t>窗帘长度按展开延长米计算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37" w:type="dxa"/>
            <w:vAlign w:val="top"/>
          </w:tcPr>
          <w:p>
            <w:pPr>
              <w:kinsoku w:val="0"/>
              <w:autoSpaceDE w:val="0"/>
              <w:autoSpaceDN w:val="0"/>
              <w:adjustRightInd w:val="0"/>
              <w:snapToGrid w:val="0"/>
              <w:spacing w:before="302" w:line="181" w:lineRule="auto"/>
              <w:ind w:left="117"/>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cs="宋体"/>
                <w:snapToGrid w:val="0"/>
                <w:color w:val="000000"/>
                <w:kern w:val="0"/>
                <w:sz w:val="21"/>
                <w:szCs w:val="21"/>
                <w:lang w:val="en-US" w:eastAsia="zh-CN" w:bidi="ar-SA"/>
              </w:rPr>
              <w:t>3</w:t>
            </w:r>
          </w:p>
        </w:tc>
        <w:tc>
          <w:tcPr>
            <w:tcW w:w="1253" w:type="dxa"/>
            <w:vAlign w:val="top"/>
          </w:tcPr>
          <w:p>
            <w:pPr>
              <w:kinsoku w:val="0"/>
              <w:autoSpaceDE w:val="0"/>
              <w:autoSpaceDN w:val="0"/>
              <w:adjustRightInd w:val="0"/>
              <w:snapToGrid w:val="0"/>
              <w:spacing w:before="266" w:line="221" w:lineRule="auto"/>
              <w:ind w:left="132"/>
              <w:jc w:val="left"/>
              <w:textAlignment w:val="baseline"/>
              <w:rPr>
                <w:rFonts w:hint="eastAsia" w:ascii="宋体" w:hAnsi="宋体" w:eastAsia="宋体" w:cs="宋体"/>
                <w:snapToGrid w:val="0"/>
                <w:color w:val="auto"/>
                <w:spacing w:val="-4"/>
                <w:kern w:val="0"/>
                <w:sz w:val="21"/>
                <w:szCs w:val="21"/>
                <w:lang w:val="en-US" w:eastAsia="zh-CN" w:bidi="ar-SA"/>
              </w:rPr>
            </w:pPr>
            <w:r>
              <w:rPr>
                <w:rFonts w:hint="eastAsia" w:ascii="宋体" w:hAnsi="宋体" w:cs="宋体"/>
                <w:snapToGrid w:val="0"/>
                <w:color w:val="auto"/>
                <w:spacing w:val="-4"/>
                <w:kern w:val="0"/>
                <w:sz w:val="21"/>
                <w:szCs w:val="21"/>
                <w:lang w:val="en-US" w:eastAsia="zh-CN" w:bidi="ar-SA"/>
              </w:rPr>
              <w:t>手动卷帘</w:t>
            </w:r>
          </w:p>
        </w:tc>
        <w:tc>
          <w:tcPr>
            <w:tcW w:w="1005" w:type="dxa"/>
            <w:vAlign w:val="top"/>
          </w:tcPr>
          <w:p>
            <w:pPr>
              <w:kinsoku w:val="0"/>
              <w:autoSpaceDE w:val="0"/>
              <w:autoSpaceDN w:val="0"/>
              <w:adjustRightInd w:val="0"/>
              <w:snapToGrid w:val="0"/>
              <w:spacing w:before="302" w:line="181" w:lineRule="auto"/>
              <w:ind w:left="128"/>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cs="宋体"/>
                <w:snapToGrid w:val="0"/>
                <w:color w:val="000000"/>
                <w:kern w:val="0"/>
                <w:sz w:val="21"/>
                <w:szCs w:val="21"/>
                <w:lang w:val="en-US" w:eastAsia="zh-CN" w:bidi="ar-SA"/>
              </w:rPr>
              <w:t>12</w:t>
            </w:r>
          </w:p>
        </w:tc>
        <w:tc>
          <w:tcPr>
            <w:tcW w:w="930" w:type="dxa"/>
            <w:vAlign w:val="top"/>
          </w:tcPr>
          <w:p>
            <w:pPr>
              <w:kinsoku w:val="0"/>
              <w:autoSpaceDE w:val="0"/>
              <w:autoSpaceDN w:val="0"/>
              <w:adjustRightInd w:val="0"/>
              <w:snapToGrid w:val="0"/>
              <w:spacing w:before="302" w:line="181" w:lineRule="auto"/>
              <w:ind w:left="128"/>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cs="宋体"/>
                <w:snapToGrid w:val="0"/>
                <w:color w:val="000000"/>
                <w:kern w:val="0"/>
                <w:sz w:val="21"/>
                <w:szCs w:val="21"/>
                <w:lang w:val="en-US" w:eastAsia="zh-CN" w:bidi="ar-SA"/>
              </w:rPr>
              <w:t>14</w:t>
            </w:r>
          </w:p>
        </w:tc>
        <w:tc>
          <w:tcPr>
            <w:tcW w:w="1349" w:type="dxa"/>
            <w:vAlign w:val="top"/>
          </w:tcPr>
          <w:p>
            <w:pPr>
              <w:kinsoku w:val="0"/>
              <w:autoSpaceDE w:val="0"/>
              <w:autoSpaceDN w:val="0"/>
              <w:adjustRightInd w:val="0"/>
              <w:snapToGrid w:val="0"/>
              <w:spacing w:before="266" w:line="220" w:lineRule="auto"/>
              <w:ind w:left="126"/>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cs="宋体"/>
                <w:snapToGrid w:val="0"/>
                <w:color w:val="000000"/>
                <w:kern w:val="0"/>
                <w:sz w:val="21"/>
                <w:szCs w:val="21"/>
                <w:lang w:val="en-US" w:eastAsia="zh-CN" w:bidi="ar-SA"/>
              </w:rPr>
              <w:t>米</w:t>
            </w:r>
          </w:p>
        </w:tc>
        <w:tc>
          <w:tcPr>
            <w:tcW w:w="3711" w:type="dxa"/>
            <w:vAlign w:val="top"/>
          </w:tcPr>
          <w:p>
            <w:pPr>
              <w:kinsoku w:val="0"/>
              <w:autoSpaceDE w:val="0"/>
              <w:autoSpaceDN w:val="0"/>
              <w:adjustRightInd w:val="0"/>
              <w:snapToGrid w:val="0"/>
              <w:spacing w:before="86" w:line="267" w:lineRule="auto"/>
              <w:ind w:right="90"/>
              <w:jc w:val="left"/>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cs="宋体"/>
                <w:snapToGrid w:val="0"/>
                <w:color w:val="000000"/>
                <w:kern w:val="0"/>
                <w:sz w:val="21"/>
                <w:szCs w:val="21"/>
                <w:lang w:val="en-US" w:eastAsia="zh-CN" w:bidi="ar"/>
              </w:rPr>
              <w:t>门幅130cm,单位米为墙面投影米数，实际窗帘长度按展开延长米计算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jc w:val="center"/>
        </w:trPr>
        <w:tc>
          <w:tcPr>
            <w:tcW w:w="937" w:type="dxa"/>
            <w:vAlign w:val="top"/>
          </w:tcPr>
          <w:p>
            <w:pPr>
              <w:kinsoku w:val="0"/>
              <w:autoSpaceDE w:val="0"/>
              <w:autoSpaceDN w:val="0"/>
              <w:adjustRightInd w:val="0"/>
              <w:snapToGrid w:val="0"/>
              <w:spacing w:before="274" w:line="181" w:lineRule="auto"/>
              <w:ind w:left="112"/>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cs="宋体"/>
                <w:snapToGrid w:val="0"/>
                <w:color w:val="000000"/>
                <w:kern w:val="0"/>
                <w:sz w:val="21"/>
                <w:szCs w:val="21"/>
                <w:lang w:val="en-US" w:eastAsia="zh-CN" w:bidi="ar-SA"/>
              </w:rPr>
              <w:t>4</w:t>
            </w:r>
          </w:p>
        </w:tc>
        <w:tc>
          <w:tcPr>
            <w:tcW w:w="1253" w:type="dxa"/>
            <w:vAlign w:val="top"/>
          </w:tcPr>
          <w:p>
            <w:pPr>
              <w:kinsoku w:val="0"/>
              <w:autoSpaceDE w:val="0"/>
              <w:autoSpaceDN w:val="0"/>
              <w:adjustRightInd w:val="0"/>
              <w:snapToGrid w:val="0"/>
              <w:spacing w:before="238" w:line="220" w:lineRule="auto"/>
              <w:ind w:left="122"/>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布帘轨道</w:t>
            </w:r>
          </w:p>
        </w:tc>
        <w:tc>
          <w:tcPr>
            <w:tcW w:w="1005" w:type="dxa"/>
            <w:vAlign w:val="top"/>
          </w:tcPr>
          <w:p>
            <w:pPr>
              <w:kinsoku w:val="0"/>
              <w:autoSpaceDE w:val="0"/>
              <w:autoSpaceDN w:val="0"/>
              <w:adjustRightInd w:val="0"/>
              <w:snapToGrid w:val="0"/>
              <w:spacing w:before="272" w:line="182" w:lineRule="auto"/>
              <w:ind w:left="14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w:t>
            </w:r>
          </w:p>
        </w:tc>
        <w:tc>
          <w:tcPr>
            <w:tcW w:w="930" w:type="dxa"/>
            <w:vAlign w:val="top"/>
          </w:tcPr>
          <w:p>
            <w:pPr>
              <w:kinsoku w:val="0"/>
              <w:autoSpaceDE w:val="0"/>
              <w:autoSpaceDN w:val="0"/>
              <w:adjustRightInd w:val="0"/>
              <w:snapToGrid w:val="0"/>
              <w:spacing w:before="274" w:line="181" w:lineRule="auto"/>
              <w:ind w:left="129"/>
              <w:jc w:val="center"/>
              <w:textAlignment w:val="baseline"/>
              <w:rPr>
                <w:rFonts w:hint="default" w:ascii="宋体" w:hAnsi="宋体" w:eastAsia="宋体" w:cs="宋体"/>
                <w:snapToGrid w:val="0"/>
                <w:color w:val="000000"/>
                <w:kern w:val="0"/>
                <w:sz w:val="21"/>
                <w:szCs w:val="21"/>
                <w:lang w:val="en-US" w:eastAsia="zh-CN" w:bidi="ar-SA"/>
              </w:rPr>
            </w:pPr>
            <w:r>
              <w:rPr>
                <w:rFonts w:ascii="宋体" w:hAnsi="宋体" w:eastAsia="宋体" w:cs="宋体"/>
                <w:snapToGrid w:val="0"/>
                <w:color w:val="000000"/>
                <w:spacing w:val="-4"/>
                <w:kern w:val="0"/>
                <w:sz w:val="21"/>
                <w:szCs w:val="21"/>
                <w:lang w:val="en-US" w:eastAsia="en-US" w:bidi="ar-SA"/>
              </w:rPr>
              <w:t>3</w:t>
            </w:r>
            <w:r>
              <w:rPr>
                <w:rFonts w:hint="eastAsia" w:ascii="宋体" w:hAnsi="宋体" w:eastAsia="宋体" w:cs="宋体"/>
                <w:snapToGrid w:val="0"/>
                <w:color w:val="000000"/>
                <w:spacing w:val="-4"/>
                <w:kern w:val="0"/>
                <w:sz w:val="21"/>
                <w:szCs w:val="21"/>
                <w:lang w:val="en-US" w:eastAsia="zh-CN" w:bidi="ar-SA"/>
              </w:rPr>
              <w:t>00</w:t>
            </w:r>
          </w:p>
        </w:tc>
        <w:tc>
          <w:tcPr>
            <w:tcW w:w="1349" w:type="dxa"/>
            <w:vAlign w:val="top"/>
          </w:tcPr>
          <w:p>
            <w:pPr>
              <w:kinsoku w:val="0"/>
              <w:autoSpaceDE w:val="0"/>
              <w:autoSpaceDN w:val="0"/>
              <w:adjustRightInd w:val="0"/>
              <w:snapToGrid w:val="0"/>
              <w:spacing w:before="238" w:line="220" w:lineRule="auto"/>
              <w:ind w:left="125"/>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米</w:t>
            </w:r>
          </w:p>
        </w:tc>
        <w:tc>
          <w:tcPr>
            <w:tcW w:w="3711" w:type="dxa"/>
            <w:vAlign w:val="top"/>
          </w:tcPr>
          <w:p>
            <w:pPr>
              <w:widowControl/>
              <w:kinsoku w:val="0"/>
              <w:autoSpaceDE w:val="0"/>
              <w:autoSpaceDN w:val="0"/>
              <w:adjustRightInd w:val="0"/>
              <w:snapToGrid w:val="0"/>
              <w:spacing w:line="240" w:lineRule="auto"/>
              <w:jc w:val="left"/>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spacing w:val="-1"/>
                <w:kern w:val="0"/>
                <w:sz w:val="21"/>
                <w:szCs w:val="21"/>
                <w:lang w:val="en-US" w:eastAsia="zh-CN"/>
              </w:rPr>
              <w:t>实际结算以</w:t>
            </w:r>
            <w:r>
              <w:rPr>
                <w:rFonts w:ascii="Arial" w:hAnsi="Arial" w:eastAsia="Arial" w:cs="Arial"/>
                <w:snapToGrid w:val="0"/>
                <w:color w:val="000000"/>
                <w:spacing w:val="-1"/>
                <w:kern w:val="0"/>
                <w:sz w:val="21"/>
                <w:szCs w:val="21"/>
                <w:lang w:eastAsia="en-US"/>
              </w:rPr>
              <w:t>现场尺寸测量</w:t>
            </w:r>
            <w:r>
              <w:rPr>
                <w:rFonts w:hint="eastAsia" w:ascii="Arial" w:hAnsi="Arial" w:eastAsia="宋体" w:cs="Arial"/>
                <w:snapToGrid w:val="0"/>
                <w:color w:val="000000"/>
                <w:spacing w:val="-1"/>
                <w:kern w:val="0"/>
                <w:sz w:val="21"/>
                <w:szCs w:val="21"/>
                <w:lang w:val="en-US" w:eastAsia="zh-CN"/>
              </w:rPr>
              <w:t>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937" w:type="dxa"/>
            <w:vAlign w:val="top"/>
          </w:tcPr>
          <w:p>
            <w:pPr>
              <w:kinsoku w:val="0"/>
              <w:autoSpaceDE w:val="0"/>
              <w:autoSpaceDN w:val="0"/>
              <w:adjustRightInd w:val="0"/>
              <w:snapToGrid w:val="0"/>
              <w:spacing w:before="217" w:line="181" w:lineRule="auto"/>
              <w:ind w:left="114"/>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cs="宋体"/>
                <w:snapToGrid w:val="0"/>
                <w:color w:val="000000"/>
                <w:kern w:val="0"/>
                <w:sz w:val="21"/>
                <w:szCs w:val="21"/>
                <w:lang w:val="en-US" w:eastAsia="zh-CN" w:bidi="ar-SA"/>
              </w:rPr>
              <w:t>5</w:t>
            </w:r>
          </w:p>
        </w:tc>
        <w:tc>
          <w:tcPr>
            <w:tcW w:w="1253" w:type="dxa"/>
            <w:vAlign w:val="top"/>
          </w:tcPr>
          <w:p>
            <w:pPr>
              <w:kinsoku w:val="0"/>
              <w:autoSpaceDE w:val="0"/>
              <w:autoSpaceDN w:val="0"/>
              <w:adjustRightInd w:val="0"/>
              <w:snapToGrid w:val="0"/>
              <w:spacing w:before="180" w:line="221" w:lineRule="auto"/>
              <w:ind w:left="132"/>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医用隔帘导轨</w:t>
            </w:r>
          </w:p>
        </w:tc>
        <w:tc>
          <w:tcPr>
            <w:tcW w:w="1005" w:type="dxa"/>
            <w:vAlign w:val="top"/>
          </w:tcPr>
          <w:p>
            <w:pPr>
              <w:kinsoku w:val="0"/>
              <w:autoSpaceDE w:val="0"/>
              <w:autoSpaceDN w:val="0"/>
              <w:adjustRightInd w:val="0"/>
              <w:snapToGrid w:val="0"/>
              <w:spacing w:before="181" w:line="225" w:lineRule="auto"/>
              <w:ind w:left="123"/>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6</w:t>
            </w:r>
          </w:p>
        </w:tc>
        <w:tc>
          <w:tcPr>
            <w:tcW w:w="930" w:type="dxa"/>
            <w:vAlign w:val="top"/>
          </w:tcPr>
          <w:p>
            <w:pPr>
              <w:kinsoku w:val="0"/>
              <w:autoSpaceDE w:val="0"/>
              <w:autoSpaceDN w:val="0"/>
              <w:adjustRightInd w:val="0"/>
              <w:snapToGrid w:val="0"/>
              <w:spacing w:before="215" w:line="182" w:lineRule="auto"/>
              <w:ind w:left="141"/>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30</w:t>
            </w:r>
          </w:p>
        </w:tc>
        <w:tc>
          <w:tcPr>
            <w:tcW w:w="1349" w:type="dxa"/>
            <w:vAlign w:val="top"/>
          </w:tcPr>
          <w:p>
            <w:pPr>
              <w:kinsoku w:val="0"/>
              <w:autoSpaceDE w:val="0"/>
              <w:autoSpaceDN w:val="0"/>
              <w:adjustRightInd w:val="0"/>
              <w:snapToGrid w:val="0"/>
              <w:spacing w:before="181" w:line="220" w:lineRule="auto"/>
              <w:ind w:left="126"/>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米</w:t>
            </w:r>
          </w:p>
        </w:tc>
        <w:tc>
          <w:tcPr>
            <w:tcW w:w="3711" w:type="dxa"/>
            <w:vAlign w:val="top"/>
          </w:tcPr>
          <w:p>
            <w:pPr>
              <w:kinsoku w:val="0"/>
              <w:autoSpaceDE w:val="0"/>
              <w:autoSpaceDN w:val="0"/>
              <w:adjustRightInd w:val="0"/>
              <w:snapToGrid w:val="0"/>
              <w:spacing w:before="181" w:line="220" w:lineRule="auto"/>
              <w:jc w:val="left"/>
              <w:textAlignment w:val="baseline"/>
              <w:rPr>
                <w:rFonts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
                <w:kern w:val="0"/>
                <w:sz w:val="21"/>
                <w:szCs w:val="21"/>
                <w:lang w:val="en-US" w:eastAsia="zh-CN" w:bidi="ar-SA"/>
              </w:rPr>
              <w:t>实际结算以</w:t>
            </w:r>
            <w:r>
              <w:rPr>
                <w:rFonts w:ascii="宋体" w:hAnsi="宋体" w:eastAsia="宋体" w:cs="宋体"/>
                <w:snapToGrid w:val="0"/>
                <w:color w:val="000000"/>
                <w:spacing w:val="-1"/>
                <w:kern w:val="0"/>
                <w:sz w:val="21"/>
                <w:szCs w:val="21"/>
                <w:lang w:val="en-US" w:eastAsia="en-US" w:bidi="ar-SA"/>
              </w:rPr>
              <w:t>现场尺寸测量</w:t>
            </w:r>
            <w:r>
              <w:rPr>
                <w:rFonts w:hint="eastAsia" w:ascii="宋体" w:hAnsi="宋体" w:eastAsia="宋体" w:cs="宋体"/>
                <w:snapToGrid w:val="0"/>
                <w:color w:val="000000"/>
                <w:spacing w:val="-1"/>
                <w:kern w:val="0"/>
                <w:sz w:val="21"/>
                <w:szCs w:val="21"/>
                <w:lang w:val="en-US" w:eastAsia="zh-CN" w:bidi="ar-SA"/>
              </w:rPr>
              <w:t>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937" w:type="dxa"/>
            <w:tcBorders>
              <w:bottom w:val="single" w:color="000000" w:sz="4" w:space="0"/>
            </w:tcBorders>
            <w:vAlign w:val="top"/>
          </w:tcPr>
          <w:p>
            <w:pPr>
              <w:kinsoku w:val="0"/>
              <w:autoSpaceDE w:val="0"/>
              <w:autoSpaceDN w:val="0"/>
              <w:adjustRightInd w:val="0"/>
              <w:snapToGrid w:val="0"/>
              <w:spacing w:before="217" w:line="181" w:lineRule="auto"/>
              <w:ind w:left="114"/>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cs="宋体"/>
                <w:snapToGrid w:val="0"/>
                <w:color w:val="000000"/>
                <w:kern w:val="0"/>
                <w:sz w:val="21"/>
                <w:szCs w:val="21"/>
                <w:lang w:val="en-US" w:eastAsia="zh-CN" w:bidi="ar-SA"/>
              </w:rPr>
              <w:t>6</w:t>
            </w:r>
          </w:p>
        </w:tc>
        <w:tc>
          <w:tcPr>
            <w:tcW w:w="1253" w:type="dxa"/>
            <w:tcBorders>
              <w:bottom w:val="single" w:color="000000" w:sz="4" w:space="0"/>
            </w:tcBorders>
            <w:vAlign w:val="top"/>
          </w:tcPr>
          <w:p>
            <w:pPr>
              <w:kinsoku w:val="0"/>
              <w:autoSpaceDE w:val="0"/>
              <w:autoSpaceDN w:val="0"/>
              <w:adjustRightInd w:val="0"/>
              <w:snapToGrid w:val="0"/>
              <w:spacing w:before="180" w:line="221" w:lineRule="auto"/>
              <w:ind w:left="132"/>
              <w:jc w:val="left"/>
              <w:textAlignment w:val="baseline"/>
              <w:rPr>
                <w:rFonts w:hint="default" w:ascii="宋体" w:hAnsi="宋体" w:eastAsia="宋体" w:cs="宋体"/>
                <w:snapToGrid w:val="0"/>
                <w:color w:val="000000"/>
                <w:spacing w:val="-3"/>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纱窗</w:t>
            </w:r>
            <w:r>
              <w:rPr>
                <w:rFonts w:hint="eastAsia" w:ascii="宋体" w:hAnsi="宋体" w:cs="宋体"/>
                <w:snapToGrid w:val="0"/>
                <w:color w:val="000000"/>
                <w:spacing w:val="-3"/>
                <w:kern w:val="0"/>
                <w:sz w:val="21"/>
                <w:szCs w:val="21"/>
                <w:lang w:val="en-US" w:eastAsia="zh-CN" w:bidi="ar-SA"/>
              </w:rPr>
              <w:t>(金刚网)</w:t>
            </w:r>
          </w:p>
        </w:tc>
        <w:tc>
          <w:tcPr>
            <w:tcW w:w="1005" w:type="dxa"/>
            <w:tcBorders>
              <w:bottom w:val="single" w:color="000000" w:sz="4" w:space="0"/>
            </w:tcBorders>
            <w:vAlign w:val="top"/>
          </w:tcPr>
          <w:p>
            <w:pPr>
              <w:kinsoku w:val="0"/>
              <w:autoSpaceDE w:val="0"/>
              <w:autoSpaceDN w:val="0"/>
              <w:adjustRightInd w:val="0"/>
              <w:snapToGrid w:val="0"/>
              <w:spacing w:before="181" w:line="225" w:lineRule="auto"/>
              <w:ind w:left="123"/>
              <w:jc w:val="center"/>
              <w:textAlignment w:val="baseline"/>
              <w:rPr>
                <w:rFonts w:ascii="宋体" w:hAnsi="宋体" w:eastAsia="宋体" w:cs="宋体"/>
                <w:snapToGrid w:val="0"/>
                <w:color w:val="000000"/>
                <w:kern w:val="0"/>
                <w:sz w:val="21"/>
                <w:szCs w:val="21"/>
                <w:lang w:val="en-US" w:eastAsia="en-US" w:bidi="ar-SA"/>
              </w:rPr>
            </w:pPr>
          </w:p>
        </w:tc>
        <w:tc>
          <w:tcPr>
            <w:tcW w:w="930" w:type="dxa"/>
            <w:tcBorders>
              <w:bottom w:val="single" w:color="000000" w:sz="4" w:space="0"/>
            </w:tcBorders>
            <w:vAlign w:val="top"/>
          </w:tcPr>
          <w:p>
            <w:pPr>
              <w:kinsoku w:val="0"/>
              <w:autoSpaceDE w:val="0"/>
              <w:autoSpaceDN w:val="0"/>
              <w:adjustRightInd w:val="0"/>
              <w:snapToGrid w:val="0"/>
              <w:spacing w:before="215" w:line="182" w:lineRule="auto"/>
              <w:ind w:left="141"/>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135</w:t>
            </w:r>
          </w:p>
        </w:tc>
        <w:tc>
          <w:tcPr>
            <w:tcW w:w="1349" w:type="dxa"/>
            <w:tcBorders>
              <w:bottom w:val="single" w:color="000000" w:sz="4" w:space="0"/>
            </w:tcBorders>
            <w:vAlign w:val="top"/>
          </w:tcPr>
          <w:p>
            <w:pPr>
              <w:kinsoku w:val="0"/>
              <w:autoSpaceDE w:val="0"/>
              <w:autoSpaceDN w:val="0"/>
              <w:adjustRightInd w:val="0"/>
              <w:snapToGrid w:val="0"/>
              <w:spacing w:before="181" w:line="220" w:lineRule="auto"/>
              <w:ind w:left="126"/>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个</w:t>
            </w:r>
          </w:p>
        </w:tc>
        <w:tc>
          <w:tcPr>
            <w:tcW w:w="3711" w:type="dxa"/>
            <w:tcBorders>
              <w:bottom w:val="single" w:color="000000" w:sz="4" w:space="0"/>
            </w:tcBorders>
            <w:vAlign w:val="top"/>
          </w:tcPr>
          <w:p>
            <w:pPr>
              <w:kinsoku w:val="0"/>
              <w:autoSpaceDE w:val="0"/>
              <w:autoSpaceDN w:val="0"/>
              <w:adjustRightInd w:val="0"/>
              <w:snapToGrid w:val="0"/>
              <w:spacing w:before="181" w:line="220" w:lineRule="auto"/>
              <w:jc w:val="left"/>
              <w:textAlignment w:val="baseline"/>
              <w:rPr>
                <w:rFonts w:hint="default"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约220米，</w:t>
            </w:r>
            <w:r>
              <w:rPr>
                <w:rFonts w:hint="eastAsia" w:ascii="宋体" w:hAnsi="宋体" w:eastAsia="宋体" w:cs="宋体"/>
                <w:snapToGrid w:val="0"/>
                <w:color w:val="000000"/>
                <w:spacing w:val="-1"/>
                <w:kern w:val="0"/>
                <w:sz w:val="21"/>
                <w:szCs w:val="21"/>
                <w:lang w:val="en-US" w:eastAsia="zh-CN" w:bidi="ar-SA"/>
              </w:rPr>
              <w:t>实际结算以</w:t>
            </w:r>
            <w:r>
              <w:rPr>
                <w:rFonts w:ascii="宋体" w:hAnsi="宋体" w:eastAsia="宋体" w:cs="宋体"/>
                <w:snapToGrid w:val="0"/>
                <w:color w:val="000000"/>
                <w:spacing w:val="-1"/>
                <w:kern w:val="0"/>
                <w:sz w:val="21"/>
                <w:szCs w:val="21"/>
                <w:lang w:val="en-US" w:eastAsia="en-US" w:bidi="ar-SA"/>
              </w:rPr>
              <w:t>现场尺寸测量</w:t>
            </w:r>
            <w:r>
              <w:rPr>
                <w:rFonts w:hint="eastAsia" w:ascii="宋体" w:hAnsi="宋体" w:eastAsia="宋体" w:cs="宋体"/>
                <w:snapToGrid w:val="0"/>
                <w:color w:val="000000"/>
                <w:spacing w:val="-1"/>
                <w:kern w:val="0"/>
                <w:sz w:val="21"/>
                <w:szCs w:val="21"/>
                <w:lang w:val="en-US" w:eastAsia="zh-CN" w:bidi="ar-SA"/>
              </w:rPr>
              <w:t>为准</w:t>
            </w:r>
          </w:p>
        </w:tc>
      </w:tr>
    </w:tbl>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（二）</w:t>
      </w:r>
      <w:r>
        <w:rPr>
          <w:rFonts w:hint="eastAsia" w:hAnsi="宋体" w:cs="Times New Roman"/>
          <w:b w:val="0"/>
          <w:bCs w:val="0"/>
          <w:color w:val="000000"/>
          <w:kern w:val="2"/>
          <w:sz w:val="21"/>
          <w:szCs w:val="21"/>
          <w:highlight w:val="none"/>
          <w:u w:val="none" w:color="000000"/>
          <w:lang w:val="en-US" w:eastAsia="zh-CN" w:bidi="ar-SA"/>
        </w:rPr>
        <w:t>相关要求</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1、上述数量为招标人暂定的数量，最终以实际需要为准，投标人应充分考虑在供货中数量变化的因素，并将该因素考虑在综合单价中，该综合单价在合同履行过程中不因实际需要数量的变化而调整。最终货款按招标人实际需求量、中标单价按实审计结算。</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2、投标人必须严格按照上述数量报价，报价中应包括配件及安装等全部费用</w:t>
      </w:r>
      <w:r>
        <w:rPr>
          <w:rFonts w:hint="eastAsia" w:hAnsi="宋体" w:cs="Times New Roman"/>
          <w:b w:val="0"/>
          <w:bCs w:val="0"/>
          <w:color w:val="000000"/>
          <w:kern w:val="2"/>
          <w:sz w:val="21"/>
          <w:szCs w:val="21"/>
          <w:highlight w:val="none"/>
          <w:u w:val="none" w:color="00000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default" w:ascii="宋体" w:hAnsi="宋体" w:eastAsia="宋体" w:cs="Times New Roman"/>
          <w:b/>
          <w:bCs/>
          <w:color w:val="000000"/>
          <w:kern w:val="2"/>
          <w:sz w:val="21"/>
          <w:szCs w:val="21"/>
          <w:highlight w:val="none"/>
          <w:u w:val="none" w:color="000000"/>
          <w:lang w:val="en-US" w:eastAsia="zh-CN" w:bidi="ar-SA"/>
        </w:rPr>
      </w:pPr>
      <w:r>
        <w:rPr>
          <w:rFonts w:hint="eastAsia" w:hAnsi="宋体" w:cs="Times New Roman"/>
          <w:b/>
          <w:bCs/>
          <w:color w:val="000000"/>
          <w:kern w:val="2"/>
          <w:sz w:val="21"/>
          <w:szCs w:val="21"/>
          <w:highlight w:val="none"/>
          <w:u w:val="none" w:color="000000"/>
          <w:lang w:val="en-US" w:eastAsia="zh-CN" w:bidi="ar-SA"/>
        </w:rPr>
        <w:t>3、所有投标产品的样品须经招标人确认方可批量生产及供货， 否则招标人不予认可。</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hAnsi="宋体" w:cs="Times New Roman"/>
          <w:b/>
          <w:bCs/>
          <w:color w:val="000000"/>
          <w:kern w:val="2"/>
          <w:sz w:val="21"/>
          <w:szCs w:val="21"/>
          <w:highlight w:val="none"/>
          <w:u w:val="none" w:color="000000"/>
          <w:lang w:val="en-US" w:eastAsia="zh-CN" w:bidi="ar-SA"/>
        </w:rPr>
      </w:pPr>
      <w:r>
        <w:rPr>
          <w:rFonts w:hint="eastAsia" w:hAnsi="宋体" w:cs="Times New Roman"/>
          <w:b/>
          <w:bCs/>
          <w:color w:val="000000"/>
          <w:kern w:val="2"/>
          <w:sz w:val="21"/>
          <w:szCs w:val="21"/>
          <w:highlight w:val="none"/>
          <w:u w:val="none" w:color="000000"/>
          <w:lang w:val="en-US" w:eastAsia="zh-CN" w:bidi="ar-SA"/>
        </w:rPr>
        <w:t>4、招标人有权在中标人生产加工、供货、安装、验收等全过程期间对中标人的供货产品及所需原材料随机抽样并送检，招标人有权对检测不合格的产品要求中标人重新供货直至检测合格为止。检测等相关费用由中标人支付，因产品检测不合格给招标人造成的损失由中标单位承担。</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default"/>
          <w:lang w:val="en-US" w:eastAsia="zh-CN"/>
        </w:rPr>
      </w:pPr>
      <w:r>
        <w:rPr>
          <w:rFonts w:hint="eastAsia" w:hAnsi="宋体" w:cs="Times New Roman"/>
          <w:b/>
          <w:bCs/>
          <w:color w:val="000000"/>
          <w:kern w:val="2"/>
          <w:sz w:val="21"/>
          <w:szCs w:val="21"/>
          <w:highlight w:val="none"/>
          <w:u w:val="none" w:color="000000"/>
          <w:lang w:val="en-US" w:eastAsia="zh-CN" w:bidi="ar-SA"/>
        </w:rPr>
        <w:t>5、供货前，招标人有权要求中标单位提供样品及相关检测报告留存，如不符合技术标准要求，视为虚假响应，招标人有权取消其中标资格，并上报相关主管部门，给招标人造成的损失由中标单位承担。</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hAnsi="宋体" w:cs="Times New Roman"/>
          <w:b w:val="0"/>
          <w:bCs w:val="0"/>
          <w:color w:val="000000"/>
          <w:kern w:val="2"/>
          <w:sz w:val="21"/>
          <w:szCs w:val="21"/>
          <w:highlight w:val="none"/>
          <w:u w:val="none" w:color="000000"/>
          <w:lang w:val="en-US" w:eastAsia="zh-CN" w:bidi="ar-SA"/>
        </w:rPr>
        <w:t>（三）技术标准</w:t>
      </w:r>
    </w:p>
    <w:tbl>
      <w:tblPr>
        <w:tblStyle w:val="78"/>
        <w:tblW w:w="96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2"/>
        <w:gridCol w:w="8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1252" w:type="dxa"/>
            <w:vAlign w:val="center"/>
          </w:tcPr>
          <w:p>
            <w:pPr>
              <w:kinsoku w:val="0"/>
              <w:autoSpaceDE w:val="0"/>
              <w:autoSpaceDN w:val="0"/>
              <w:adjustRightInd w:val="0"/>
              <w:snapToGrid w:val="0"/>
              <w:spacing w:before="78" w:line="219" w:lineRule="auto"/>
              <w:ind w:left="399"/>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布帘</w:t>
            </w:r>
          </w:p>
        </w:tc>
        <w:tc>
          <w:tcPr>
            <w:tcW w:w="8359"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hAnsi="宋体" w:cs="Times New Roman"/>
                <w:b w:val="0"/>
                <w:bCs w:val="0"/>
                <w:color w:val="000000"/>
                <w:kern w:val="2"/>
                <w:sz w:val="21"/>
                <w:szCs w:val="21"/>
                <w:highlight w:val="none"/>
                <w:u w:val="none" w:color="000000"/>
                <w:lang w:val="en-US" w:eastAsia="zh-CN" w:bidi="ar-SA"/>
              </w:rPr>
              <w:t>1</w:t>
            </w:r>
            <w:r>
              <w:rPr>
                <w:rFonts w:hint="eastAsia" w:ascii="宋体" w:hAnsi="宋体" w:eastAsia="宋体" w:cs="Times New Roman"/>
                <w:b w:val="0"/>
                <w:bCs w:val="0"/>
                <w:color w:val="000000"/>
                <w:kern w:val="2"/>
                <w:sz w:val="21"/>
                <w:szCs w:val="21"/>
                <w:highlight w:val="none"/>
                <w:u w:val="none" w:color="000000"/>
                <w:lang w:val="en-US" w:eastAsia="en-US" w:bidi="ar-SA"/>
              </w:rPr>
              <w:t>、面料：采用隔光面料，克重≥550克/平方米，经纱150d/48F,网络纱DTY,纬纱： 150d/400d，经密74根/cm,纬密50/cm</w:t>
            </w:r>
            <w:r>
              <w:rPr>
                <w:rFonts w:hint="eastAsia" w:hAnsi="宋体" w:cs="Times New Roman"/>
                <w:b w:val="0"/>
                <w:bCs w:val="0"/>
                <w:color w:val="000000"/>
                <w:kern w:val="2"/>
                <w:sz w:val="21"/>
                <w:szCs w:val="21"/>
                <w:highlight w:val="none"/>
                <w:u w:val="none" w:color="00000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en-US" w:bidi="ar-SA"/>
              </w:rPr>
              <w:t>2、门幅：</w:t>
            </w:r>
            <w:r>
              <w:rPr>
                <w:rFonts w:hint="eastAsia" w:ascii="宋体" w:hAnsi="宋体" w:eastAsia="宋体" w:cs="Times New Roman"/>
                <w:b w:val="0"/>
                <w:bCs w:val="0"/>
                <w:color w:val="000000"/>
                <w:kern w:val="2"/>
                <w:sz w:val="21"/>
                <w:szCs w:val="21"/>
                <w:highlight w:val="none"/>
                <w:u w:val="none" w:color="000000"/>
                <w:lang w:val="en-US" w:eastAsia="zh-CN" w:bidi="ar-SA"/>
              </w:rPr>
              <w:t>300</w:t>
            </w:r>
            <w:r>
              <w:rPr>
                <w:rFonts w:hint="eastAsia" w:ascii="宋体" w:hAnsi="宋体" w:eastAsia="宋体" w:cs="Times New Roman"/>
                <w:b w:val="0"/>
                <w:bCs w:val="0"/>
                <w:color w:val="000000"/>
                <w:kern w:val="2"/>
                <w:sz w:val="21"/>
                <w:szCs w:val="21"/>
                <w:highlight w:val="none"/>
                <w:u w:val="none" w:color="000000"/>
                <w:lang w:val="en-US" w:eastAsia="en-US" w:bidi="ar-SA"/>
              </w:rPr>
              <w:t>cm；</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en-US" w:bidi="ar-SA"/>
              </w:rPr>
              <w:t>3、遮光率不低于80%，要求染色阻燃，整体防火等级达到 B1级以上（含 B1级）</w:t>
            </w:r>
            <w:r>
              <w:rPr>
                <w:rFonts w:hint="eastAsia" w:hAnsi="宋体" w:cs="Times New Roman"/>
                <w:b w:val="0"/>
                <w:bCs w:val="0"/>
                <w:color w:val="000000"/>
                <w:kern w:val="2"/>
                <w:sz w:val="21"/>
                <w:szCs w:val="21"/>
                <w:highlight w:val="none"/>
                <w:u w:val="none" w:color="00000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en-US" w:bidi="ar-SA"/>
              </w:rPr>
              <w:t>（不允许采用后衬隔光布的加工法）。</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en-US" w:bidi="ar-SA"/>
              </w:rPr>
              <w:t>4、隔帘颜色及花形按采购方要求提供和制作,成品按1:</w:t>
            </w:r>
            <w:r>
              <w:rPr>
                <w:rFonts w:hint="eastAsia" w:ascii="宋体" w:hAnsi="宋体" w:eastAsia="宋体" w:cs="Times New Roman"/>
                <w:b w:val="0"/>
                <w:bCs w:val="0"/>
                <w:color w:val="000000"/>
                <w:kern w:val="2"/>
                <w:sz w:val="21"/>
                <w:szCs w:val="21"/>
                <w:highlight w:val="none"/>
                <w:u w:val="none" w:color="000000"/>
                <w:lang w:val="en-US" w:eastAsia="zh-CN" w:bidi="ar-SA"/>
              </w:rPr>
              <w:t>2</w:t>
            </w:r>
            <w:r>
              <w:rPr>
                <w:rFonts w:hint="eastAsia" w:ascii="宋体" w:hAnsi="宋体" w:eastAsia="宋体" w:cs="Times New Roman"/>
                <w:b w:val="0"/>
                <w:bCs w:val="0"/>
                <w:color w:val="000000"/>
                <w:kern w:val="2"/>
                <w:sz w:val="21"/>
                <w:szCs w:val="21"/>
                <w:highlight w:val="none"/>
                <w:u w:val="none" w:color="000000"/>
                <w:lang w:val="en-US" w:eastAsia="en-US" w:bidi="ar-SA"/>
              </w:rPr>
              <w:t>皱褶制作。</w:t>
            </w:r>
            <w:r>
              <w:rPr>
                <w:rFonts w:hint="eastAsia" w:ascii="宋体" w:hAnsi="宋体" w:eastAsia="宋体" w:cs="Times New Roman"/>
                <w:b w:val="0"/>
                <w:bCs w:val="0"/>
                <w:color w:val="000000"/>
                <w:kern w:val="2"/>
                <w:sz w:val="21"/>
                <w:szCs w:val="21"/>
                <w:highlight w:val="none"/>
                <w:u w:val="none" w:color="000000"/>
                <w:lang w:val="en-US" w:eastAsia="zh-CN" w:bidi="ar-SA"/>
              </w:rPr>
              <w:t>下边距离地面 5cm；高温挂烫定型。线迹均匀平直，侧边不 扭斜；缝纫线与布料颜色相同或相近；拼接 处不扭斜，拼缝锁三线；不能弄脏和损坏布料</w:t>
            </w:r>
            <w:r>
              <w:rPr>
                <w:rFonts w:hint="eastAsia" w:hAnsi="宋体" w:cs="Times New Roman"/>
                <w:b w:val="0"/>
                <w:bCs w:val="0"/>
                <w:color w:val="000000"/>
                <w:kern w:val="2"/>
                <w:sz w:val="21"/>
                <w:szCs w:val="21"/>
                <w:highlight w:val="none"/>
                <w:u w:val="none" w:color="00000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bCs/>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en-US" w:bidi="ar-SA"/>
              </w:rPr>
              <w:t>5、依据 GB/T 19817-2005《纺织品装饰用织物》水洗尺寸变化率:可水洗、机洗、缩水率&lt;1%;耐洗色牢度:色牢度≥4级、色泽纯正；耐光色牢度≥5级， 异味:无异味</w:t>
            </w:r>
            <w:r>
              <w:rPr>
                <w:rFonts w:hint="eastAsia" w:hAnsi="宋体" w:cs="Times New Roman"/>
                <w:b w:val="0"/>
                <w:bCs w:val="0"/>
                <w:color w:val="000000"/>
                <w:kern w:val="2"/>
                <w:sz w:val="21"/>
                <w:szCs w:val="21"/>
                <w:highlight w:val="none"/>
                <w:u w:val="none" w:color="000000"/>
                <w:lang w:val="en-US" w:eastAsia="zh-CN" w:bidi="ar-SA"/>
              </w:rPr>
              <w:t>；</w:t>
            </w:r>
            <w:r>
              <w:rPr>
                <w:rFonts w:hint="eastAsia" w:hAnsi="宋体" w:cs="Times New Roman"/>
                <w:b/>
                <w:bCs/>
                <w:color w:val="000000"/>
                <w:kern w:val="2"/>
                <w:sz w:val="21"/>
                <w:szCs w:val="21"/>
                <w:highlight w:val="none"/>
                <w:u w:val="none" w:color="000000"/>
                <w:lang w:val="en-US" w:eastAsia="zh-CN" w:bidi="ar-SA"/>
              </w:rPr>
              <w:t>【投标时提供检测报告或产品合格证等证明材料，复印件加盖投标单位公章】</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bCs/>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en-US" w:bidi="ar-SA"/>
              </w:rPr>
              <w:t>6、依据 GB 18401-2010《国家纺织产品基本安全技术规范》PH 值符合:4.0~9.0(C类);甲醛含量&lt;30mg/Kg</w:t>
            </w:r>
            <w:r>
              <w:rPr>
                <w:rFonts w:hint="eastAsia" w:hAnsi="宋体" w:cs="Times New Roman"/>
                <w:b w:val="0"/>
                <w:bCs w:val="0"/>
                <w:color w:val="000000"/>
                <w:kern w:val="2"/>
                <w:sz w:val="21"/>
                <w:szCs w:val="21"/>
                <w:highlight w:val="none"/>
                <w:u w:val="none" w:color="000000"/>
                <w:lang w:val="en-US" w:eastAsia="zh-CN" w:bidi="ar-SA"/>
              </w:rPr>
              <w:t>；</w:t>
            </w:r>
            <w:r>
              <w:rPr>
                <w:rFonts w:hint="eastAsia" w:hAnsi="宋体" w:cs="Times New Roman"/>
                <w:b/>
                <w:bCs/>
                <w:color w:val="000000"/>
                <w:kern w:val="2"/>
                <w:sz w:val="21"/>
                <w:szCs w:val="21"/>
                <w:highlight w:val="none"/>
                <w:u w:val="none" w:color="000000"/>
                <w:lang w:val="en-US" w:eastAsia="zh-CN" w:bidi="ar-SA"/>
              </w:rPr>
              <w:t>【投标时提供检测报告或产品合格证等证明材料，复印件加盖投标单位公章】</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bCs/>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en-US" w:bidi="ar-SA"/>
              </w:rPr>
              <w:t>7、断裂强力 :符合 GB/T19817-2005《纺织品装饰用织物》标准</w:t>
            </w:r>
            <w:r>
              <w:rPr>
                <w:rFonts w:hint="eastAsia" w:hAnsi="宋体" w:cs="Times New Roman"/>
                <w:b w:val="0"/>
                <w:bCs w:val="0"/>
                <w:color w:val="000000"/>
                <w:kern w:val="2"/>
                <w:sz w:val="21"/>
                <w:szCs w:val="21"/>
                <w:highlight w:val="none"/>
                <w:u w:val="none" w:color="000000"/>
                <w:lang w:val="en-US" w:eastAsia="zh-CN" w:bidi="ar-SA"/>
              </w:rPr>
              <w:t>；</w:t>
            </w:r>
            <w:r>
              <w:rPr>
                <w:rFonts w:hint="eastAsia" w:hAnsi="宋体" w:cs="Times New Roman"/>
                <w:b/>
                <w:bCs/>
                <w:color w:val="000000"/>
                <w:kern w:val="2"/>
                <w:sz w:val="21"/>
                <w:szCs w:val="21"/>
                <w:highlight w:val="none"/>
                <w:u w:val="none" w:color="000000"/>
                <w:lang w:val="en-US" w:eastAsia="zh-CN" w:bidi="ar-SA"/>
              </w:rPr>
              <w:t>【投标时提供检测报告或产品合格证等证明材料，复印件加盖投标单位公章】</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en-US" w:bidi="ar-SA"/>
              </w:rPr>
              <w:t>8、</w:t>
            </w:r>
            <w:r>
              <w:rPr>
                <w:rFonts w:hint="eastAsia" w:ascii="宋体" w:hAnsi="宋体" w:eastAsia="宋体" w:cs="Times New Roman"/>
                <w:b w:val="0"/>
                <w:bCs w:val="0"/>
                <w:color w:val="000000"/>
                <w:kern w:val="2"/>
                <w:sz w:val="21"/>
                <w:szCs w:val="21"/>
                <w:highlight w:val="none"/>
                <w:u w:val="none" w:color="000000"/>
                <w:lang w:val="en-US" w:eastAsia="zh-CN" w:bidi="ar-SA"/>
              </w:rPr>
              <w:t xml:space="preserve">备注：此报价含辅材、送货、安装。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1252" w:type="dxa"/>
            <w:vAlign w:val="center"/>
          </w:tcPr>
          <w:p>
            <w:pPr>
              <w:kinsoku w:val="0"/>
              <w:autoSpaceDE w:val="0"/>
              <w:autoSpaceDN w:val="0"/>
              <w:adjustRightInd w:val="0"/>
              <w:snapToGrid w:val="0"/>
              <w:spacing w:before="78" w:line="220" w:lineRule="auto"/>
              <w:ind w:left="17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4"/>
                <w:kern w:val="0"/>
                <w:sz w:val="21"/>
                <w:szCs w:val="21"/>
                <w:lang w:val="en-US" w:eastAsia="en-US" w:bidi="ar-SA"/>
              </w:rPr>
              <w:t>医用隔帘</w:t>
            </w:r>
          </w:p>
        </w:tc>
        <w:tc>
          <w:tcPr>
            <w:tcW w:w="8359"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en-US" w:bidi="ar-SA"/>
              </w:rPr>
              <w:t>1、面料成分：涤纶 100%，克重≥580克/平方米</w:t>
            </w:r>
            <w:r>
              <w:rPr>
                <w:rFonts w:hint="eastAsia" w:hAnsi="宋体" w:cs="Times New Roman"/>
                <w:b w:val="0"/>
                <w:bCs w:val="0"/>
                <w:color w:val="000000"/>
                <w:kern w:val="2"/>
                <w:sz w:val="21"/>
                <w:szCs w:val="21"/>
                <w:highlight w:val="none"/>
                <w:u w:val="none" w:color="00000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en-US" w:bidi="ar-SA"/>
              </w:rPr>
              <w:t>2、采用永久阻燃帘布。（不允许后阻燃处理）</w:t>
            </w:r>
            <w:r>
              <w:rPr>
                <w:rFonts w:hint="eastAsia" w:hAnsi="宋体" w:cs="Times New Roman"/>
                <w:b w:val="0"/>
                <w:bCs w:val="0"/>
                <w:color w:val="000000"/>
                <w:kern w:val="2"/>
                <w:sz w:val="21"/>
                <w:szCs w:val="21"/>
                <w:highlight w:val="none"/>
                <w:u w:val="none" w:color="00000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en-US" w:bidi="ar-SA"/>
              </w:rPr>
              <w:t xml:space="preserve">3、面料门幅： </w:t>
            </w:r>
            <w:r>
              <w:rPr>
                <w:rFonts w:hint="eastAsia" w:ascii="宋体" w:hAnsi="宋体" w:eastAsia="宋体" w:cs="Times New Roman"/>
                <w:b w:val="0"/>
                <w:bCs w:val="0"/>
                <w:color w:val="000000"/>
                <w:kern w:val="2"/>
                <w:sz w:val="21"/>
                <w:szCs w:val="21"/>
                <w:highlight w:val="none"/>
                <w:u w:val="none" w:color="000000"/>
                <w:lang w:val="en-US" w:eastAsia="zh-CN" w:bidi="ar-SA"/>
              </w:rPr>
              <w:t>300</w:t>
            </w:r>
            <w:r>
              <w:rPr>
                <w:rFonts w:hint="eastAsia" w:ascii="宋体" w:hAnsi="宋体" w:eastAsia="宋体" w:cs="Times New Roman"/>
                <w:b w:val="0"/>
                <w:bCs w:val="0"/>
                <w:color w:val="000000"/>
                <w:kern w:val="2"/>
                <w:sz w:val="21"/>
                <w:szCs w:val="21"/>
                <w:highlight w:val="none"/>
                <w:u w:val="none" w:color="000000"/>
                <w:lang w:val="en-US" w:eastAsia="en-US" w:bidi="ar-SA"/>
              </w:rPr>
              <w:t>cm</w:t>
            </w:r>
            <w:r>
              <w:rPr>
                <w:rFonts w:hint="eastAsia" w:hAnsi="宋体" w:cs="Times New Roman"/>
                <w:b w:val="0"/>
                <w:bCs w:val="0"/>
                <w:color w:val="000000"/>
                <w:kern w:val="2"/>
                <w:sz w:val="21"/>
                <w:szCs w:val="21"/>
                <w:highlight w:val="none"/>
                <w:u w:val="none" w:color="00000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en-US" w:bidi="ar-SA"/>
              </w:rPr>
              <w:t>5、隔帘颜色及花形按采购方要求提供和制作,成品按1:</w:t>
            </w:r>
            <w:r>
              <w:rPr>
                <w:rFonts w:hint="eastAsia" w:ascii="宋体" w:hAnsi="宋体" w:eastAsia="宋体" w:cs="Times New Roman"/>
                <w:b w:val="0"/>
                <w:bCs w:val="0"/>
                <w:color w:val="000000"/>
                <w:kern w:val="2"/>
                <w:sz w:val="21"/>
                <w:szCs w:val="21"/>
                <w:highlight w:val="none"/>
                <w:u w:val="none" w:color="000000"/>
                <w:lang w:val="en-US" w:eastAsia="zh-CN" w:bidi="ar-SA"/>
              </w:rPr>
              <w:t>2</w:t>
            </w:r>
            <w:r>
              <w:rPr>
                <w:rFonts w:hint="eastAsia" w:ascii="宋体" w:hAnsi="宋体" w:eastAsia="宋体" w:cs="Times New Roman"/>
                <w:b w:val="0"/>
                <w:bCs w:val="0"/>
                <w:color w:val="000000"/>
                <w:kern w:val="2"/>
                <w:sz w:val="21"/>
                <w:szCs w:val="21"/>
                <w:highlight w:val="none"/>
                <w:u w:val="none" w:color="000000"/>
                <w:lang w:val="en-US" w:eastAsia="en-US" w:bidi="ar-SA"/>
              </w:rPr>
              <w:t>皱褶制作。</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bCs/>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en-US" w:bidi="ar-SA"/>
              </w:rPr>
              <w:t>6、依据 GB/T 19817-2005《纺织品装饰用织物》，水洗尺寸变化率 :可水洗、机洗、缩水率&lt;1%；耐洗色牢度≥4级；异味:无异味。</w:t>
            </w:r>
            <w:r>
              <w:rPr>
                <w:rFonts w:hint="eastAsia" w:ascii="宋体" w:hAnsi="宋体" w:eastAsia="宋体" w:cs="Times New Roman"/>
                <w:b/>
                <w:bCs/>
                <w:color w:val="000000"/>
                <w:kern w:val="2"/>
                <w:sz w:val="21"/>
                <w:szCs w:val="21"/>
                <w:highlight w:val="none"/>
                <w:u w:val="none" w:color="000000"/>
                <w:lang w:val="en-US" w:eastAsia="en-US" w:bidi="ar-SA"/>
              </w:rPr>
              <w:t>【投标时提供检测报告或产品合格证等证明材料，复印件加盖投标单位公章】</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bCs/>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en-US" w:bidi="ar-SA"/>
              </w:rPr>
              <w:t>7、依据 GB 18401-2010《国家纺织产品基本安全技术规范》PH 值符合:4.0~9.0(C类);甲醛含量&lt;30mg/Kg。</w:t>
            </w:r>
            <w:r>
              <w:rPr>
                <w:rFonts w:hint="eastAsia" w:ascii="宋体" w:hAnsi="宋体" w:eastAsia="宋体" w:cs="Times New Roman"/>
                <w:b/>
                <w:bCs/>
                <w:color w:val="000000"/>
                <w:kern w:val="2"/>
                <w:sz w:val="21"/>
                <w:szCs w:val="21"/>
                <w:highlight w:val="none"/>
                <w:u w:val="none" w:color="000000"/>
                <w:lang w:val="en-US" w:eastAsia="en-US" w:bidi="ar-SA"/>
              </w:rPr>
              <w:t>【投标时提供检测报告或产品合格证等证明材料，复印件加盖投标单位公章】</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en-US" w:bidi="ar-SA"/>
              </w:rPr>
              <w:t>8、断裂强力 :符合 GB/T 19817-2005《纺织品装饰用织物》标准</w:t>
            </w:r>
            <w:r>
              <w:rPr>
                <w:rFonts w:hint="eastAsia" w:hAnsi="宋体" w:cs="Times New Roman"/>
                <w:b w:val="0"/>
                <w:bCs w:val="0"/>
                <w:color w:val="000000"/>
                <w:kern w:val="2"/>
                <w:sz w:val="21"/>
                <w:szCs w:val="21"/>
                <w:highlight w:val="none"/>
                <w:u w:val="none" w:color="000000"/>
                <w:lang w:val="en-US" w:eastAsia="zh-CN" w:bidi="ar-SA"/>
              </w:rPr>
              <w:t>。</w:t>
            </w:r>
            <w:r>
              <w:rPr>
                <w:rFonts w:hint="eastAsia" w:hAnsi="宋体" w:cs="Times New Roman"/>
                <w:b/>
                <w:bCs/>
                <w:color w:val="000000"/>
                <w:kern w:val="2"/>
                <w:sz w:val="21"/>
                <w:szCs w:val="21"/>
                <w:highlight w:val="none"/>
                <w:u w:val="none" w:color="000000"/>
                <w:lang w:val="en-US" w:eastAsia="zh-CN" w:bidi="ar-SA"/>
              </w:rPr>
              <w:t>【投标时提供检测报告或产品合格证等证明材料，复印件加盖投标单位公章】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1252" w:type="dxa"/>
            <w:vAlign w:val="center"/>
          </w:tcPr>
          <w:p>
            <w:pPr>
              <w:kinsoku w:val="0"/>
              <w:autoSpaceDE w:val="0"/>
              <w:autoSpaceDN w:val="0"/>
              <w:adjustRightInd w:val="0"/>
              <w:snapToGrid w:val="0"/>
              <w:spacing w:before="78" w:line="220" w:lineRule="auto"/>
              <w:ind w:left="170"/>
              <w:jc w:val="both"/>
              <w:textAlignment w:val="baseline"/>
              <w:rPr>
                <w:rFonts w:hint="eastAsia" w:ascii="宋体" w:hAnsi="宋体" w:eastAsia="宋体" w:cs="宋体"/>
                <w:snapToGrid w:val="0"/>
                <w:color w:val="000000"/>
                <w:spacing w:val="-4"/>
                <w:kern w:val="0"/>
                <w:sz w:val="21"/>
                <w:szCs w:val="21"/>
                <w:lang w:val="en-US" w:eastAsia="zh-CN" w:bidi="ar-SA"/>
              </w:rPr>
            </w:pPr>
            <w:r>
              <w:rPr>
                <w:rFonts w:hint="eastAsia" w:ascii="宋体" w:hAnsi="宋体" w:cs="宋体"/>
                <w:snapToGrid w:val="0"/>
                <w:color w:val="000000"/>
                <w:spacing w:val="-4"/>
                <w:kern w:val="0"/>
                <w:sz w:val="21"/>
                <w:szCs w:val="21"/>
                <w:lang w:val="en-US" w:eastAsia="zh-CN" w:bidi="ar-SA"/>
              </w:rPr>
              <w:t>手动卷帘</w:t>
            </w:r>
          </w:p>
        </w:tc>
        <w:tc>
          <w:tcPr>
            <w:tcW w:w="8359"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zh-CN" w:bidi="ar-SA"/>
              </w:rPr>
              <w:t>1、卷帘参数：材质 70%PVC，30%涤纶。克重≥380 克/平方米</w:t>
            </w:r>
            <w:r>
              <w:rPr>
                <w:rFonts w:hint="eastAsia" w:hAnsi="宋体" w:cs="Times New Roman"/>
                <w:b w:val="0"/>
                <w:bCs w:val="0"/>
                <w:color w:val="000000"/>
                <w:kern w:val="2"/>
                <w:sz w:val="21"/>
                <w:szCs w:val="21"/>
                <w:highlight w:val="none"/>
                <w:u w:val="none" w:color="00000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zh-CN" w:bidi="ar-SA"/>
              </w:rPr>
              <w:t>2、面料特性：</w:t>
            </w:r>
            <w:r>
              <w:rPr>
                <w:rFonts w:hint="eastAsia" w:hAnsi="宋体" w:cs="Times New Roman"/>
                <w:b w:val="0"/>
                <w:bCs w:val="0"/>
                <w:color w:val="000000"/>
                <w:kern w:val="2"/>
                <w:sz w:val="21"/>
                <w:szCs w:val="21"/>
                <w:highlight w:val="none"/>
                <w:u w:val="none" w:color="000000"/>
                <w:lang w:val="en-US" w:eastAsia="zh-CN" w:bidi="ar-SA"/>
              </w:rPr>
              <w:t>纯色（浅蓝色）、防水、</w:t>
            </w:r>
            <w:r>
              <w:rPr>
                <w:rFonts w:hint="eastAsia" w:ascii="宋体" w:hAnsi="宋体" w:eastAsia="宋体" w:cs="Times New Roman"/>
                <w:b w:val="0"/>
                <w:bCs w:val="0"/>
                <w:color w:val="000000"/>
                <w:kern w:val="2"/>
                <w:sz w:val="21"/>
                <w:szCs w:val="21"/>
                <w:highlight w:val="none"/>
                <w:u w:val="none" w:color="000000"/>
                <w:lang w:val="en-US" w:eastAsia="zh-CN" w:bidi="ar-SA"/>
              </w:rPr>
              <w:t>阻燃、不起皱，耐洗色牢度≥4 级，遮光率&gt;</w:t>
            </w:r>
            <w:r>
              <w:rPr>
                <w:rFonts w:hint="eastAsia" w:hAnsi="宋体" w:cs="Times New Roman"/>
                <w:b w:val="0"/>
                <w:bCs w:val="0"/>
                <w:color w:val="000000"/>
                <w:kern w:val="2"/>
                <w:sz w:val="21"/>
                <w:szCs w:val="21"/>
                <w:highlight w:val="none"/>
                <w:u w:val="none" w:color="000000"/>
                <w:lang w:val="en-US" w:eastAsia="zh-CN" w:bidi="ar-SA"/>
              </w:rPr>
              <w:t>8</w:t>
            </w:r>
            <w:r>
              <w:rPr>
                <w:rFonts w:hint="eastAsia" w:ascii="宋体" w:hAnsi="宋体" w:eastAsia="宋体" w:cs="Times New Roman"/>
                <w:b w:val="0"/>
                <w:bCs w:val="0"/>
                <w:color w:val="000000"/>
                <w:kern w:val="2"/>
                <w:sz w:val="21"/>
                <w:szCs w:val="21"/>
                <w:highlight w:val="none"/>
                <w:u w:val="none" w:color="000000"/>
                <w:lang w:val="en-US" w:eastAsia="zh-CN" w:bidi="ar-SA"/>
              </w:rPr>
              <w:t xml:space="preserve">0%。 </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bCs/>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zh-CN" w:bidi="ar-SA"/>
              </w:rPr>
              <w:t xml:space="preserve">3、依据 GB 18401-2010《国家纺织产品基本安全技术规范》PH 值符合:4.0~9.0(C 类);甲醛含量&lt;30mg/Kg。 </w:t>
            </w:r>
            <w:r>
              <w:rPr>
                <w:rFonts w:hint="eastAsia" w:ascii="宋体" w:hAnsi="宋体" w:eastAsia="宋体" w:cs="Times New Roman"/>
                <w:b/>
                <w:bCs/>
                <w:color w:val="000000"/>
                <w:kern w:val="2"/>
                <w:sz w:val="21"/>
                <w:szCs w:val="21"/>
                <w:highlight w:val="none"/>
                <w:u w:val="none" w:color="000000"/>
                <w:lang w:val="en-US" w:eastAsia="zh-CN" w:bidi="ar-SA"/>
              </w:rPr>
              <w:t>【投标时提供检测报告或产品合格证等证明材料，复印件加盖投标单位公章】</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zh-CN" w:bidi="ar-SA"/>
              </w:rPr>
              <w:t>4、手拉机构：卷筒：高强度铝合金材质，直径≥45mm，管材壁厚≥1.8mm，内要求加强筋，抗弯曲能力强，表面须阳极氧化处理。遮光率不低于 80%。管材外表</w:t>
            </w:r>
            <w:r>
              <w:rPr>
                <w:rFonts w:hint="default" w:ascii="宋体" w:hAnsi="宋体" w:eastAsia="宋体" w:cs="Times New Roman"/>
                <w:b w:val="0"/>
                <w:bCs w:val="0"/>
                <w:color w:val="000000"/>
                <w:kern w:val="2"/>
                <w:sz w:val="21"/>
                <w:szCs w:val="21"/>
                <w:highlight w:val="none"/>
                <w:u w:val="none" w:color="000000"/>
                <w:lang w:val="en-US" w:eastAsia="zh-CN" w:bidi="ar-SA"/>
              </w:rPr>
              <w:t xml:space="preserve">38 </w:t>
            </w:r>
            <w:r>
              <w:rPr>
                <w:rFonts w:hint="eastAsia" w:ascii="宋体" w:hAnsi="宋体" w:eastAsia="宋体" w:cs="Times New Roman"/>
                <w:b w:val="0"/>
                <w:bCs w:val="0"/>
                <w:color w:val="000000"/>
                <w:kern w:val="2"/>
                <w:sz w:val="21"/>
                <w:szCs w:val="21"/>
                <w:highlight w:val="none"/>
                <w:u w:val="none" w:color="000000"/>
                <w:lang w:val="en-US" w:eastAsia="zh-CN" w:bidi="ar-SA"/>
              </w:rPr>
              <w:t xml:space="preserve">面带插槽，帘布经高温烫接插条后，可直接插入卷筒表面的凹槽中（不允许采用双面贴粘贴面料的方法）；底杆：高强度铝合金材质，椭圆形，重量≥0.75KG/M，能够保持面料平整，表面阳极氧化处理。 </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zh-CN" w:bidi="ar-SA"/>
              </w:rPr>
              <w:t>5、防潮。细菌无法繁殖,面料不会霉变</w:t>
            </w:r>
            <w:r>
              <w:rPr>
                <w:rFonts w:hint="eastAsia" w:hAnsi="宋体" w:cs="Times New Roman"/>
                <w:b w:val="0"/>
                <w:bCs w:val="0"/>
                <w:color w:val="000000"/>
                <w:kern w:val="2"/>
                <w:sz w:val="21"/>
                <w:szCs w:val="21"/>
                <w:highlight w:val="none"/>
                <w:u w:val="none" w:color="000000"/>
                <w:lang w:val="en-US" w:eastAsia="zh-CN" w:bidi="ar-SA"/>
              </w:rPr>
              <w:t>，面料可擦洗。</w:t>
            </w:r>
          </w:p>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en-US" w:bidi="ar-SA"/>
              </w:rPr>
            </w:pPr>
            <w:r>
              <w:rPr>
                <w:rFonts w:hint="eastAsia" w:ascii="宋体" w:hAnsi="宋体" w:eastAsia="宋体" w:cs="Times New Roman"/>
                <w:b w:val="0"/>
                <w:bCs w:val="0"/>
                <w:color w:val="000000"/>
                <w:kern w:val="2"/>
                <w:sz w:val="21"/>
                <w:szCs w:val="21"/>
                <w:highlight w:val="none"/>
                <w:u w:val="none" w:color="000000"/>
                <w:lang w:val="en-US" w:eastAsia="zh-CN" w:bidi="ar-SA"/>
              </w:rPr>
              <w:t>6、尺寸恒定。阳光面料自身材料决定其不具有延展性,不会变形,并持久保持其平整度。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61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ind w:left="210" w:leftChars="100" w:firstLine="0" w:firstLine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hAnsi="宋体" w:cs="Times New Roman"/>
                <w:b/>
                <w:bCs/>
                <w:color w:val="000000"/>
                <w:kern w:val="2"/>
                <w:sz w:val="21"/>
                <w:szCs w:val="21"/>
                <w:highlight w:val="none"/>
                <w:u w:val="none" w:color="000000"/>
                <w:lang w:val="en-US" w:eastAsia="zh-CN" w:bidi="ar-SA"/>
              </w:rPr>
              <w:t>备注：上述参数投标人必须完全响应或优于，要求提供的证明材料，投标时提供，未提供的视为不响应，按无效标处理。</w:t>
            </w:r>
          </w:p>
        </w:tc>
      </w:tr>
    </w:tbl>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hAnsi="宋体" w:cs="Times New Roman"/>
          <w:b w:val="0"/>
          <w:bCs w:val="0"/>
          <w:color w:val="000000"/>
          <w:kern w:val="2"/>
          <w:sz w:val="21"/>
          <w:szCs w:val="21"/>
          <w:highlight w:val="none"/>
          <w:u w:val="none" w:color="000000"/>
          <w:lang w:val="en-US" w:eastAsia="zh-CN" w:bidi="ar-SA"/>
        </w:rPr>
        <w:t>（四）加工规格要求</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4.1 窗帘</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（1）2倍饱和度（打摺 1：2）；</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（2）窗帘用窗帘带车，帘带底部车雌雄贴，单勾（固定褶）制作工艺。</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（3）底边反折 10 cm；布料底边内加铅线；</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（4）侧边反折 2.5 cm压明线，线迹均匀平直，侧边不扭斜；</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（5）缝纫线与布料颜色相同或相近；</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（6）拼接处不扭斜，拼缝锁三线；</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（7）不能弄脏和损坏布料。</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4.2 医用隔帘</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（1）2 倍的饱和度（1:2 倍褶皱）</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（2）医用隔帘头用医用隔帘带车，帘带底部车雌雄贴，单勾（固定褶）制 作工艺。</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（3）底边反折 10 cm；轻；</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（4）侧边反折 2.5 cm压明线，线迹均匀平直，侧边不扭斜；</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（5）缝纫线与布料颜色相同或相近；</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（6）单幅医用隔帘布允许拼接；</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（7）围帘上部通风部分的高度 50-60cm。</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 xml:space="preserve">4.3 </w:t>
      </w:r>
      <w:r>
        <w:rPr>
          <w:rFonts w:hint="eastAsia" w:hAnsi="宋体" w:cs="Times New Roman"/>
          <w:b w:val="0"/>
          <w:bCs w:val="0"/>
          <w:color w:val="000000"/>
          <w:kern w:val="2"/>
          <w:sz w:val="21"/>
          <w:szCs w:val="21"/>
          <w:highlight w:val="none"/>
          <w:u w:val="none" w:color="000000"/>
          <w:lang w:val="en-US" w:eastAsia="zh-CN" w:bidi="ar-SA"/>
        </w:rPr>
        <w:t>手动</w:t>
      </w:r>
      <w:r>
        <w:rPr>
          <w:rFonts w:hint="eastAsia" w:ascii="宋体" w:hAnsi="宋体" w:eastAsia="宋体" w:cs="Times New Roman"/>
          <w:b w:val="0"/>
          <w:bCs w:val="0"/>
          <w:color w:val="000000"/>
          <w:kern w:val="2"/>
          <w:sz w:val="21"/>
          <w:szCs w:val="21"/>
          <w:highlight w:val="none"/>
          <w:u w:val="none" w:color="000000"/>
          <w:lang w:val="en-US" w:eastAsia="zh-CN" w:bidi="ar-SA"/>
        </w:rPr>
        <w:t>卷帘</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（1）帘布底端插到下轨内，保证底部不起皱；</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（2）帘布包于下轨表面上，保证下轨不外露（不允许采用钉书机钉包装带 插入的方法）。</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4.4 窗帘、医用隔帘安装要求</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（1） 材料、安装尺寸、安装方法风格统一，按采购人要求安装。</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（2） 窗帘下底边缘需离地 10cm；医用隔帘离地 20cm。</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（3） 窗帘、医用隔帘轨道采用滑轨形式、吊装支座间距不大于 1m；</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（4） 宽布带和窗帘、医用隔帘之间需用工程线缝纫；</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（5） 窗帘、医用隔帘合拢时中间交叉不少于 10 cm。</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Times New Roman"/>
          <w:b w:val="0"/>
          <w:bCs w:val="0"/>
          <w:color w:val="000000"/>
          <w:kern w:val="2"/>
          <w:sz w:val="21"/>
          <w:szCs w:val="21"/>
          <w:highlight w:val="none"/>
          <w:u w:val="none" w:color="000000"/>
          <w:lang w:val="en-US" w:eastAsia="zh-CN" w:bidi="ar-SA"/>
        </w:rPr>
      </w:pPr>
      <w:r>
        <w:rPr>
          <w:rFonts w:hint="eastAsia" w:ascii="宋体" w:hAnsi="宋体" w:eastAsia="宋体" w:cs="Times New Roman"/>
          <w:b w:val="0"/>
          <w:bCs w:val="0"/>
          <w:color w:val="000000"/>
          <w:kern w:val="2"/>
          <w:sz w:val="21"/>
          <w:szCs w:val="21"/>
          <w:highlight w:val="none"/>
          <w:u w:val="none" w:color="000000"/>
          <w:lang w:val="en-US" w:eastAsia="zh-CN" w:bidi="ar-SA"/>
        </w:rPr>
        <w:t>（</w:t>
      </w:r>
      <w:r>
        <w:rPr>
          <w:rFonts w:hint="eastAsia" w:hAnsi="宋体" w:cs="Times New Roman"/>
          <w:b w:val="0"/>
          <w:bCs w:val="0"/>
          <w:color w:val="000000"/>
          <w:kern w:val="2"/>
          <w:sz w:val="21"/>
          <w:szCs w:val="21"/>
          <w:highlight w:val="none"/>
          <w:u w:val="none" w:color="000000"/>
          <w:lang w:val="en-US" w:eastAsia="zh-CN" w:bidi="ar-SA"/>
        </w:rPr>
        <w:t>五</w:t>
      </w:r>
      <w:r>
        <w:rPr>
          <w:rFonts w:hint="eastAsia" w:ascii="宋体" w:hAnsi="宋体" w:eastAsia="宋体" w:cs="Times New Roman"/>
          <w:b w:val="0"/>
          <w:bCs w:val="0"/>
          <w:color w:val="000000"/>
          <w:kern w:val="2"/>
          <w:sz w:val="21"/>
          <w:szCs w:val="21"/>
          <w:highlight w:val="none"/>
          <w:u w:val="none" w:color="000000"/>
          <w:lang w:val="en-US" w:eastAsia="zh-CN" w:bidi="ar-SA"/>
        </w:rPr>
        <w:t>）商务要求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1.本项目范围内所涉及的</w:t>
      </w:r>
      <w:r>
        <w:rPr>
          <w:rFonts w:hint="eastAsia" w:ascii="宋体" w:hAnsi="宋体" w:eastAsia="宋体" w:cs="宋体"/>
          <w:b w:val="0"/>
          <w:bCs/>
          <w:color w:val="000000"/>
          <w:kern w:val="2"/>
          <w:sz w:val="21"/>
          <w:szCs w:val="21"/>
          <w:highlight w:val="none"/>
          <w:u w:val="none" w:color="000000"/>
          <w:shd w:val="clear" w:color="auto" w:fill="FFFFFF"/>
        </w:rPr>
        <w:t>货物的生产、安装、维修、检验、验收等按照以下原则执行：有国家标准的执行国家标准；无国家标准的执行行业标准；无行业标准的执行地方标准；无地方标准的执行企业标准。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2.</w:t>
      </w:r>
      <w:r>
        <w:rPr>
          <w:rFonts w:hint="eastAsia" w:ascii="宋体" w:hAnsi="宋体" w:eastAsia="宋体" w:cs="宋体"/>
          <w:b w:val="0"/>
          <w:bCs/>
          <w:color w:val="000000"/>
          <w:kern w:val="2"/>
          <w:sz w:val="21"/>
          <w:szCs w:val="21"/>
          <w:highlight w:val="none"/>
          <w:u w:val="none" w:color="000000"/>
          <w:shd w:val="clear" w:color="auto" w:fill="FFFFFF"/>
        </w:rPr>
        <w:t>如果在技术参数或配置</w:t>
      </w:r>
      <w:r>
        <w:rPr>
          <w:rFonts w:hint="eastAsia" w:ascii="宋体" w:hAnsi="宋体" w:eastAsia="宋体" w:cs="宋体"/>
          <w:b w:val="0"/>
          <w:bCs/>
          <w:color w:val="000000"/>
          <w:kern w:val="2"/>
          <w:sz w:val="21"/>
          <w:szCs w:val="21"/>
          <w:highlight w:val="none"/>
          <w:u w:val="none" w:color="000000"/>
          <w:shd w:val="clear" w:color="auto" w:fill="FFFFFF"/>
          <w:lang w:val="en-US" w:eastAsia="zh-CN"/>
        </w:rPr>
        <w:t>或清单</w:t>
      </w:r>
      <w:r>
        <w:rPr>
          <w:rFonts w:hint="eastAsia" w:ascii="宋体" w:hAnsi="宋体" w:eastAsia="宋体" w:cs="宋体"/>
          <w:b w:val="0"/>
          <w:bCs/>
          <w:color w:val="000000"/>
          <w:kern w:val="2"/>
          <w:sz w:val="21"/>
          <w:szCs w:val="21"/>
          <w:highlight w:val="none"/>
          <w:u w:val="none" w:color="000000"/>
          <w:shd w:val="clear" w:color="auto" w:fill="FFFFFF"/>
        </w:rPr>
        <w:t>中标明了品牌或产地，则仅供参考，并非指定，但投标人提供的货物必须满足主要技术参数及配置要求，投标人可以选用替代的方案，但这种替代整体上要优于或相当于招标文件的相关要求。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3.履行合同过程中，项目所含</w:t>
      </w:r>
      <w:r>
        <w:rPr>
          <w:rFonts w:hint="eastAsia" w:ascii="宋体" w:hAnsi="宋体" w:eastAsia="宋体" w:cs="宋体"/>
          <w:b w:val="0"/>
          <w:bCs/>
          <w:color w:val="000000"/>
          <w:kern w:val="2"/>
          <w:sz w:val="21"/>
          <w:szCs w:val="21"/>
          <w:highlight w:val="none"/>
          <w:u w:val="none" w:color="000000"/>
          <w:shd w:val="clear" w:color="auto" w:fill="FFFFFF"/>
        </w:rPr>
        <w:t>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采购人有权拒绝接受。对因使用不符合要求的产品设备，而导致采购人受到损失的，中标单位将承担赔偿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4.</w:t>
      </w:r>
      <w:r>
        <w:rPr>
          <w:rFonts w:hint="eastAsia" w:ascii="宋体" w:hAnsi="宋体" w:eastAsia="宋体" w:cs="宋体"/>
          <w:b w:val="0"/>
          <w:bCs/>
          <w:color w:val="000000"/>
          <w:kern w:val="2"/>
          <w:sz w:val="21"/>
          <w:szCs w:val="21"/>
          <w:highlight w:val="none"/>
          <w:u w:val="none" w:color="000000"/>
          <w:shd w:val="clear" w:color="auto" w:fill="FFFFFF"/>
        </w:rPr>
        <w:t>技术支持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4.</w:t>
      </w:r>
      <w:r>
        <w:rPr>
          <w:rFonts w:hint="eastAsia" w:ascii="宋体" w:hAnsi="宋体" w:eastAsia="宋体" w:cs="宋体"/>
          <w:b w:val="0"/>
          <w:bCs/>
          <w:color w:val="000000"/>
          <w:kern w:val="2"/>
          <w:sz w:val="21"/>
          <w:szCs w:val="21"/>
          <w:highlight w:val="none"/>
          <w:u w:val="none" w:color="000000"/>
          <w:shd w:val="clear" w:color="auto" w:fill="FFFFFF"/>
        </w:rPr>
        <w:t>1.</w:t>
      </w:r>
      <w:r>
        <w:rPr>
          <w:rFonts w:hint="eastAsia" w:ascii="宋体" w:hAnsi="宋体" w:eastAsia="宋体" w:cs="宋体"/>
          <w:b w:val="0"/>
          <w:bCs/>
          <w:color w:val="000000"/>
          <w:kern w:val="2"/>
          <w:sz w:val="21"/>
          <w:szCs w:val="21"/>
          <w:highlight w:val="none"/>
          <w:u w:val="none" w:color="000000"/>
          <w:shd w:val="clear" w:color="auto" w:fill="FFFFFF"/>
          <w:lang w:eastAsia="zh-CN"/>
        </w:rPr>
        <w:t>中标供应商</w:t>
      </w:r>
      <w:r>
        <w:rPr>
          <w:rFonts w:hint="eastAsia" w:ascii="宋体" w:hAnsi="宋体" w:eastAsia="宋体" w:cs="宋体"/>
          <w:b w:val="0"/>
          <w:bCs/>
          <w:color w:val="000000"/>
          <w:kern w:val="2"/>
          <w:sz w:val="21"/>
          <w:szCs w:val="21"/>
          <w:highlight w:val="none"/>
          <w:u w:val="none" w:color="000000"/>
          <w:shd w:val="clear" w:color="auto" w:fill="FFFFFF"/>
        </w:rPr>
        <w:t>应向采购人提供全方位、及时而有效的技术支持和服务。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4.</w:t>
      </w:r>
      <w:r>
        <w:rPr>
          <w:rFonts w:hint="eastAsia" w:ascii="宋体" w:hAnsi="宋体" w:eastAsia="宋体" w:cs="宋体"/>
          <w:b w:val="0"/>
          <w:bCs/>
          <w:color w:val="000000"/>
          <w:kern w:val="2"/>
          <w:sz w:val="21"/>
          <w:szCs w:val="21"/>
          <w:highlight w:val="none"/>
          <w:u w:val="none" w:color="000000"/>
          <w:shd w:val="clear" w:color="auto" w:fill="FFFFFF"/>
        </w:rPr>
        <w:t>2.</w:t>
      </w:r>
      <w:r>
        <w:rPr>
          <w:rFonts w:hint="eastAsia" w:ascii="宋体" w:hAnsi="宋体" w:eastAsia="宋体" w:cs="宋体"/>
          <w:b w:val="0"/>
          <w:bCs/>
          <w:color w:val="000000"/>
          <w:kern w:val="2"/>
          <w:sz w:val="21"/>
          <w:szCs w:val="21"/>
          <w:highlight w:val="none"/>
          <w:u w:val="none" w:color="000000"/>
          <w:shd w:val="clear" w:color="auto" w:fill="FFFFFF"/>
          <w:lang w:eastAsia="zh-CN"/>
        </w:rPr>
        <w:t>中标供应商</w:t>
      </w:r>
      <w:r>
        <w:rPr>
          <w:rFonts w:hint="eastAsia" w:ascii="宋体" w:hAnsi="宋体" w:eastAsia="宋体" w:cs="宋体"/>
          <w:b w:val="0"/>
          <w:bCs/>
          <w:color w:val="000000"/>
          <w:kern w:val="2"/>
          <w:sz w:val="21"/>
          <w:szCs w:val="21"/>
          <w:highlight w:val="none"/>
          <w:u w:val="none" w:color="000000"/>
          <w:shd w:val="clear" w:color="auto" w:fill="FFFFFF"/>
        </w:rPr>
        <w:t>负责供货、安装、调试。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4.</w:t>
      </w:r>
      <w:r>
        <w:rPr>
          <w:rFonts w:hint="eastAsia" w:ascii="宋体" w:hAnsi="宋体" w:eastAsia="宋体" w:cs="宋体"/>
          <w:b w:val="0"/>
          <w:bCs/>
          <w:color w:val="000000"/>
          <w:kern w:val="2"/>
          <w:sz w:val="21"/>
          <w:szCs w:val="21"/>
          <w:highlight w:val="none"/>
          <w:u w:val="none" w:color="000000"/>
          <w:shd w:val="clear" w:color="auto" w:fill="FFFFFF"/>
        </w:rPr>
        <w:t>3.</w:t>
      </w:r>
      <w:r>
        <w:rPr>
          <w:rFonts w:hint="eastAsia" w:ascii="宋体" w:hAnsi="宋体" w:eastAsia="宋体" w:cs="宋体"/>
          <w:b w:val="0"/>
          <w:bCs/>
          <w:color w:val="000000"/>
          <w:kern w:val="2"/>
          <w:sz w:val="21"/>
          <w:szCs w:val="21"/>
          <w:highlight w:val="none"/>
          <w:u w:val="none" w:color="000000"/>
          <w:shd w:val="clear" w:color="auto" w:fill="FFFFFF"/>
          <w:lang w:eastAsia="zh-CN"/>
        </w:rPr>
        <w:t>中标供应商</w:t>
      </w:r>
      <w:r>
        <w:rPr>
          <w:rFonts w:hint="eastAsia" w:ascii="宋体" w:hAnsi="宋体" w:eastAsia="宋体" w:cs="宋体"/>
          <w:b w:val="0"/>
          <w:bCs/>
          <w:color w:val="000000"/>
          <w:kern w:val="2"/>
          <w:sz w:val="21"/>
          <w:szCs w:val="21"/>
          <w:highlight w:val="none"/>
          <w:u w:val="none" w:color="000000"/>
          <w:shd w:val="clear" w:color="auto" w:fill="FFFFFF"/>
        </w:rPr>
        <w:t>负责将</w:t>
      </w:r>
      <w:r>
        <w:rPr>
          <w:rFonts w:hint="eastAsia" w:ascii="宋体" w:hAnsi="宋体" w:eastAsia="宋体" w:cs="宋体"/>
          <w:b w:val="0"/>
          <w:bCs/>
          <w:color w:val="000000"/>
          <w:kern w:val="2"/>
          <w:sz w:val="21"/>
          <w:szCs w:val="21"/>
          <w:highlight w:val="none"/>
          <w:u w:val="none" w:color="000000"/>
          <w:shd w:val="clear" w:color="auto" w:fill="FFFFFF"/>
          <w:lang w:val="en-US" w:eastAsia="zh-CN"/>
        </w:rPr>
        <w:t>项目所含</w:t>
      </w:r>
      <w:r>
        <w:rPr>
          <w:rFonts w:hint="eastAsia" w:ascii="宋体" w:hAnsi="宋体" w:eastAsia="宋体" w:cs="宋体"/>
          <w:b w:val="0"/>
          <w:bCs/>
          <w:color w:val="000000"/>
          <w:kern w:val="2"/>
          <w:sz w:val="21"/>
          <w:szCs w:val="21"/>
          <w:highlight w:val="none"/>
          <w:u w:val="none" w:color="000000"/>
          <w:shd w:val="clear" w:color="auto" w:fill="FFFFFF"/>
        </w:rPr>
        <w:t>货物的全部有关技术文件（外文应提供中文翻译资料，下同）、施工图纸、资料、测试、验收报告等汇集成册交付采购人，涉及进口的产品或部件配件软件等须提供中国海关进口货物报关单、完税证明及商检证明等材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5.</w:t>
      </w:r>
      <w:r>
        <w:rPr>
          <w:rFonts w:hint="eastAsia" w:ascii="宋体" w:hAnsi="宋体" w:eastAsia="宋体" w:cs="宋体"/>
          <w:b w:val="0"/>
          <w:bCs/>
          <w:color w:val="000000"/>
          <w:kern w:val="2"/>
          <w:sz w:val="21"/>
          <w:szCs w:val="21"/>
          <w:highlight w:val="none"/>
          <w:u w:val="none" w:color="000000"/>
          <w:shd w:val="clear" w:color="auto" w:fill="FFFFFF"/>
        </w:rPr>
        <w:t>质保及售后服务：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5.</w:t>
      </w:r>
      <w:r>
        <w:rPr>
          <w:rFonts w:hint="eastAsia" w:ascii="宋体" w:hAnsi="宋体" w:eastAsia="宋体" w:cs="宋体"/>
          <w:b w:val="0"/>
          <w:bCs/>
          <w:color w:val="000000"/>
          <w:kern w:val="2"/>
          <w:sz w:val="21"/>
          <w:szCs w:val="21"/>
          <w:highlight w:val="none"/>
          <w:u w:val="none" w:color="000000"/>
          <w:shd w:val="clear" w:color="auto" w:fill="FFFFFF"/>
        </w:rPr>
        <w:t>1.</w:t>
      </w:r>
      <w:r>
        <w:rPr>
          <w:rFonts w:hint="eastAsia" w:ascii="宋体" w:hAnsi="宋体" w:eastAsia="宋体" w:cs="宋体"/>
          <w:b w:val="0"/>
          <w:bCs/>
          <w:color w:val="000000"/>
          <w:kern w:val="2"/>
          <w:sz w:val="21"/>
          <w:szCs w:val="21"/>
          <w:highlight w:val="none"/>
          <w:u w:val="none" w:color="000000"/>
          <w:shd w:val="clear" w:color="auto" w:fill="FFFFFF"/>
          <w:lang w:val="en-US" w:eastAsia="zh-CN"/>
        </w:rPr>
        <w:t>本项目</w:t>
      </w:r>
      <w:r>
        <w:rPr>
          <w:rFonts w:hint="eastAsia" w:ascii="宋体" w:hAnsi="宋体" w:eastAsia="宋体" w:cs="宋体"/>
          <w:b w:val="0"/>
          <w:bCs/>
          <w:color w:val="000000"/>
          <w:kern w:val="2"/>
          <w:sz w:val="21"/>
          <w:szCs w:val="21"/>
          <w:highlight w:val="none"/>
          <w:u w:val="none" w:color="000000"/>
          <w:shd w:val="clear" w:color="auto" w:fill="FFFFFF"/>
          <w:lang w:eastAsia="zh-CN"/>
        </w:rPr>
        <w:t>中标供应商</w:t>
      </w:r>
      <w:r>
        <w:rPr>
          <w:rFonts w:hint="eastAsia" w:ascii="宋体" w:hAnsi="宋体" w:eastAsia="宋体" w:cs="宋体"/>
          <w:b w:val="0"/>
          <w:bCs/>
          <w:color w:val="000000"/>
          <w:kern w:val="2"/>
          <w:sz w:val="21"/>
          <w:szCs w:val="21"/>
          <w:highlight w:val="none"/>
          <w:u w:val="none" w:color="000000"/>
          <w:shd w:val="clear" w:color="auto" w:fill="FFFFFF"/>
        </w:rPr>
        <w:t>须提供</w:t>
      </w:r>
      <w:r>
        <w:rPr>
          <w:rFonts w:hint="eastAsia" w:ascii="宋体" w:hAnsi="宋体" w:cs="宋体"/>
          <w:b w:val="0"/>
          <w:bCs/>
          <w:color w:val="000000"/>
          <w:kern w:val="2"/>
          <w:sz w:val="21"/>
          <w:szCs w:val="21"/>
          <w:highlight w:val="none"/>
          <w:u w:val="none" w:color="000000"/>
          <w:shd w:val="clear" w:color="auto" w:fill="FFFFFF"/>
          <w:lang w:val="en-US" w:eastAsia="zh-CN"/>
        </w:rPr>
        <w:t>2</w:t>
      </w:r>
      <w:r>
        <w:rPr>
          <w:rFonts w:hint="eastAsia" w:ascii="宋体" w:hAnsi="宋体" w:eastAsia="宋体" w:cs="宋体"/>
          <w:b w:val="0"/>
          <w:bCs/>
          <w:color w:val="000000"/>
          <w:kern w:val="2"/>
          <w:sz w:val="21"/>
          <w:szCs w:val="21"/>
          <w:highlight w:val="none"/>
          <w:u w:val="none" w:color="000000"/>
          <w:shd w:val="clear" w:color="auto" w:fill="FFFFFF"/>
        </w:rPr>
        <w:t>年的免费质保服务，以设施、设备安装验收合格之日起计算，所有质保费用均已包含在投标报价中。免费维保期与质量保证期同步计算。期间维保耗材、损材等均为</w:t>
      </w:r>
      <w:r>
        <w:rPr>
          <w:rFonts w:hint="eastAsia" w:ascii="宋体" w:hAnsi="宋体" w:eastAsia="宋体" w:cs="宋体"/>
          <w:b w:val="0"/>
          <w:bCs/>
          <w:color w:val="000000"/>
          <w:kern w:val="2"/>
          <w:sz w:val="21"/>
          <w:szCs w:val="21"/>
          <w:highlight w:val="none"/>
          <w:u w:val="none" w:color="000000"/>
          <w:shd w:val="clear" w:color="auto" w:fill="FFFFFF"/>
          <w:lang w:eastAsia="zh-CN"/>
        </w:rPr>
        <w:t>中标供应商</w:t>
      </w:r>
      <w:r>
        <w:rPr>
          <w:rFonts w:hint="eastAsia" w:ascii="宋体" w:hAnsi="宋体" w:eastAsia="宋体" w:cs="宋体"/>
          <w:b w:val="0"/>
          <w:bCs/>
          <w:color w:val="000000"/>
          <w:kern w:val="2"/>
          <w:sz w:val="21"/>
          <w:szCs w:val="21"/>
          <w:highlight w:val="none"/>
          <w:u w:val="none" w:color="000000"/>
          <w:shd w:val="clear" w:color="auto" w:fill="FFFFFF"/>
        </w:rPr>
        <w:t>免费提供。质保期满后，应提供优先的有偿售后服务及按不高于投标文件中主要配件、易损件清单所报价格供应原厂零配件等。软件终身免费升级服务。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5.</w:t>
      </w:r>
      <w:r>
        <w:rPr>
          <w:rFonts w:hint="eastAsia" w:ascii="宋体" w:hAnsi="宋体" w:eastAsia="宋体" w:cs="宋体"/>
          <w:b w:val="0"/>
          <w:bCs/>
          <w:color w:val="000000"/>
          <w:kern w:val="2"/>
          <w:sz w:val="21"/>
          <w:szCs w:val="21"/>
          <w:highlight w:val="none"/>
          <w:u w:val="none" w:color="000000"/>
          <w:shd w:val="clear" w:color="auto" w:fill="FFFFFF"/>
        </w:rPr>
        <w:t>2.</w:t>
      </w:r>
      <w:r>
        <w:rPr>
          <w:rFonts w:hint="eastAsia" w:ascii="宋体" w:hAnsi="宋体" w:eastAsia="宋体" w:cs="宋体"/>
          <w:b w:val="0"/>
          <w:bCs/>
          <w:color w:val="000000"/>
          <w:kern w:val="2"/>
          <w:sz w:val="21"/>
          <w:szCs w:val="21"/>
          <w:highlight w:val="none"/>
          <w:u w:val="none" w:color="000000"/>
          <w:shd w:val="clear" w:color="auto" w:fill="FFFFFF"/>
          <w:lang w:eastAsia="zh-CN"/>
        </w:rPr>
        <w:t>中标供应商</w:t>
      </w:r>
      <w:r>
        <w:rPr>
          <w:rFonts w:hint="eastAsia" w:ascii="宋体" w:hAnsi="宋体" w:eastAsia="宋体" w:cs="宋体"/>
          <w:b w:val="0"/>
          <w:bCs/>
          <w:color w:val="000000"/>
          <w:kern w:val="2"/>
          <w:sz w:val="21"/>
          <w:szCs w:val="21"/>
          <w:highlight w:val="none"/>
          <w:u w:val="none" w:color="000000"/>
          <w:shd w:val="clear" w:color="auto" w:fill="FFFFFF"/>
        </w:rPr>
        <w:t>须设有24小时维修服务电话，负责解答用户在</w:t>
      </w:r>
      <w:r>
        <w:rPr>
          <w:rFonts w:hint="eastAsia" w:ascii="宋体" w:hAnsi="宋体" w:eastAsia="宋体" w:cs="宋体"/>
          <w:b w:val="0"/>
          <w:bCs/>
          <w:color w:val="000000"/>
          <w:kern w:val="2"/>
          <w:sz w:val="21"/>
          <w:szCs w:val="21"/>
          <w:highlight w:val="none"/>
          <w:u w:val="none" w:color="000000"/>
          <w:shd w:val="clear" w:color="auto" w:fill="FFFFFF"/>
          <w:lang w:val="en-US" w:eastAsia="zh-CN"/>
        </w:rPr>
        <w:t>项目</w:t>
      </w:r>
      <w:r>
        <w:rPr>
          <w:rFonts w:hint="eastAsia" w:ascii="宋体" w:hAnsi="宋体" w:eastAsia="宋体" w:cs="宋体"/>
          <w:b w:val="0"/>
          <w:bCs/>
          <w:color w:val="000000"/>
          <w:kern w:val="2"/>
          <w:sz w:val="21"/>
          <w:szCs w:val="21"/>
          <w:highlight w:val="none"/>
          <w:u w:val="none" w:color="000000"/>
          <w:shd w:val="clear" w:color="auto" w:fill="FFFFFF"/>
        </w:rPr>
        <w:t>使用中遇到的问题，及时提出解决问题的建议和操作方法。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5.</w:t>
      </w:r>
      <w:r>
        <w:rPr>
          <w:rFonts w:hint="eastAsia" w:ascii="宋体" w:hAnsi="宋体" w:eastAsia="宋体" w:cs="宋体"/>
          <w:b w:val="0"/>
          <w:bCs/>
          <w:color w:val="000000"/>
          <w:kern w:val="2"/>
          <w:sz w:val="21"/>
          <w:szCs w:val="21"/>
          <w:highlight w:val="none"/>
          <w:u w:val="none" w:color="000000"/>
          <w:shd w:val="clear" w:color="auto" w:fill="FFFFFF"/>
        </w:rPr>
        <w:t>3.售后服务响应时间：投标人中标后服务期内有固定服务团队，如货物出现故障，接到招标人应急服务通知后 15 分钟内能电话响应，2小时内能到达现场，简单问题须8小时内维修完成，重难问题须24小时内维修完成，如需更换或送修，能在48小时内解决。中标单位应保证在交付使用后，在投标承诺的免费质量保修期（维保期）内可根据需要安排技术人员上门免费技术服务与支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6.</w:t>
      </w:r>
      <w:r>
        <w:rPr>
          <w:rFonts w:hint="eastAsia" w:ascii="宋体" w:hAnsi="宋体" w:eastAsia="宋体" w:cs="宋体"/>
          <w:b w:val="0"/>
          <w:bCs/>
          <w:color w:val="000000"/>
          <w:kern w:val="2"/>
          <w:sz w:val="21"/>
          <w:szCs w:val="21"/>
          <w:highlight w:val="none"/>
          <w:u w:val="none" w:color="000000"/>
          <w:shd w:val="clear" w:color="auto" w:fill="FFFFFF"/>
        </w:rPr>
        <w:t>培训：中标单位应委派经验丰富的专业技术人员对采购单位相关技术人员进行现场专项技术操作培训，直至其能熟练独立操作及日常维护与保养，简单故障诊断与排除，培训是指涉及产品基本原理、安装、调试、操作使用和保养维护等有关内容的学习、费用由供应商承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7.工期</w:t>
      </w:r>
      <w:r>
        <w:rPr>
          <w:rFonts w:hint="eastAsia" w:ascii="宋体" w:hAnsi="宋体" w:eastAsia="宋体" w:cs="宋体"/>
          <w:b w:val="0"/>
          <w:bCs/>
          <w:color w:val="000000"/>
          <w:kern w:val="2"/>
          <w:sz w:val="21"/>
          <w:szCs w:val="21"/>
          <w:highlight w:val="none"/>
          <w:u w:val="none" w:color="000000"/>
          <w:shd w:val="clear" w:color="auto" w:fill="FFFFFF"/>
        </w:rPr>
        <w:t>: 自合同签订之日起</w:t>
      </w:r>
      <w:r>
        <w:rPr>
          <w:rFonts w:hint="eastAsia" w:ascii="宋体" w:hAnsi="宋体" w:cs="宋体"/>
          <w:b w:val="0"/>
          <w:bCs/>
          <w:color w:val="000000"/>
          <w:kern w:val="2"/>
          <w:sz w:val="21"/>
          <w:szCs w:val="21"/>
          <w:highlight w:val="none"/>
          <w:u w:val="none" w:color="000000"/>
          <w:shd w:val="clear" w:color="auto" w:fill="FFFFFF"/>
          <w:lang w:val="en-US" w:eastAsia="zh-CN"/>
        </w:rPr>
        <w:t>30</w:t>
      </w:r>
      <w:r>
        <w:rPr>
          <w:rFonts w:hint="eastAsia" w:ascii="宋体" w:hAnsi="宋体" w:eastAsia="宋体" w:cs="宋体"/>
          <w:b w:val="0"/>
          <w:bCs/>
          <w:color w:val="000000"/>
          <w:kern w:val="2"/>
          <w:sz w:val="21"/>
          <w:szCs w:val="21"/>
          <w:highlight w:val="none"/>
          <w:u w:val="none" w:color="000000"/>
          <w:shd w:val="clear" w:color="auto" w:fill="FFFFFF"/>
        </w:rPr>
        <w:t>个日历天内完成所有货物的供货、安装、验收工作。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8.</w:t>
      </w:r>
      <w:r>
        <w:rPr>
          <w:rFonts w:hint="eastAsia" w:ascii="宋体" w:hAnsi="宋体" w:eastAsia="宋体" w:cs="宋体"/>
          <w:b w:val="0"/>
          <w:bCs/>
          <w:color w:val="000000"/>
          <w:kern w:val="2"/>
          <w:sz w:val="21"/>
          <w:szCs w:val="21"/>
          <w:highlight w:val="none"/>
          <w:u w:val="none" w:color="000000"/>
          <w:shd w:val="clear" w:color="auto" w:fill="FFFFFF"/>
        </w:rPr>
        <w:t>验收：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color w:val="000000"/>
          <w:kern w:val="2"/>
          <w:sz w:val="21"/>
          <w:szCs w:val="21"/>
          <w:highlight w:val="none"/>
          <w:u w:val="none" w:color="000000"/>
          <w:shd w:val="clear" w:color="auto" w:fill="FFFFFF"/>
        </w:rPr>
      </w:pPr>
      <w:r>
        <w:rPr>
          <w:rFonts w:hint="eastAsia" w:ascii="宋体" w:hAnsi="宋体" w:eastAsia="宋体" w:cs="宋体"/>
          <w:b w:val="0"/>
          <w:bCs/>
          <w:color w:val="000000"/>
          <w:kern w:val="2"/>
          <w:sz w:val="21"/>
          <w:szCs w:val="21"/>
          <w:highlight w:val="none"/>
          <w:u w:val="none" w:color="000000"/>
          <w:shd w:val="clear" w:color="auto" w:fill="FFFFFF"/>
          <w:lang w:val="en-US" w:eastAsia="zh-CN"/>
        </w:rPr>
        <w:t>8.</w:t>
      </w:r>
      <w:r>
        <w:rPr>
          <w:rFonts w:hint="eastAsia" w:ascii="宋体" w:hAnsi="宋体" w:eastAsia="宋体" w:cs="宋体"/>
          <w:b w:val="0"/>
          <w:bCs/>
          <w:color w:val="000000"/>
          <w:kern w:val="2"/>
          <w:sz w:val="21"/>
          <w:szCs w:val="21"/>
          <w:highlight w:val="none"/>
          <w:u w:val="none" w:color="000000"/>
          <w:shd w:val="clear" w:color="auto" w:fill="FFFFFF"/>
        </w:rPr>
        <w:t>1.采购人和相关部门按照国家规定标准验收，没有国家标准的按行业标准验收，无行业标准的按地方或企业标准验收，</w:t>
      </w:r>
      <w:r>
        <w:rPr>
          <w:rFonts w:hint="eastAsia" w:ascii="宋体" w:hAnsi="宋体" w:eastAsia="宋体" w:cs="宋体"/>
          <w:b w:val="0"/>
          <w:bCs/>
          <w:color w:val="000000"/>
          <w:kern w:val="2"/>
          <w:sz w:val="21"/>
          <w:szCs w:val="21"/>
          <w:highlight w:val="none"/>
          <w:u w:val="none" w:color="000000"/>
          <w:shd w:val="clear" w:color="auto" w:fill="FFFFFF"/>
          <w:lang w:eastAsia="zh-CN"/>
        </w:rPr>
        <w:t>中标供应商</w:t>
      </w:r>
      <w:r>
        <w:rPr>
          <w:rFonts w:hint="eastAsia" w:ascii="宋体" w:hAnsi="宋体" w:eastAsia="宋体" w:cs="宋体"/>
          <w:b w:val="0"/>
          <w:bCs/>
          <w:color w:val="000000"/>
          <w:kern w:val="2"/>
          <w:sz w:val="21"/>
          <w:szCs w:val="21"/>
          <w:highlight w:val="none"/>
          <w:u w:val="none" w:color="000000"/>
          <w:shd w:val="clear" w:color="auto" w:fill="FFFFFF"/>
        </w:rPr>
        <w:t>予以配合。涉及安全、消防、环保等其他需要由质检或行业主管部门验收的项目，采购人须约请相关部门和专家参加项目验收。</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textAlignment w:val="auto"/>
        <w:rPr>
          <w:rFonts w:hint="eastAsia" w:ascii="宋体" w:hAnsi="宋体" w:eastAsia="宋体" w:cs="宋体"/>
          <w:b w:val="0"/>
          <w:bCs/>
          <w:color w:val="000000"/>
          <w:kern w:val="2"/>
          <w:sz w:val="21"/>
          <w:szCs w:val="21"/>
          <w:highlight w:val="none"/>
          <w:u w:val="none" w:color="000000"/>
          <w:shd w:val="clear" w:color="auto" w:fill="FFFFFF"/>
          <w:lang w:val="en-US" w:eastAsia="zh-CN"/>
        </w:rPr>
      </w:pPr>
      <w:bookmarkStart w:id="950" w:name="_Toc30562"/>
      <w:r>
        <w:rPr>
          <w:rFonts w:hint="eastAsia" w:ascii="宋体" w:hAnsi="宋体" w:eastAsia="宋体" w:cs="宋体"/>
          <w:b w:val="0"/>
          <w:bCs/>
          <w:color w:val="000000"/>
          <w:kern w:val="2"/>
          <w:sz w:val="21"/>
          <w:szCs w:val="21"/>
          <w:highlight w:val="none"/>
          <w:u w:val="none" w:color="000000"/>
          <w:shd w:val="clear" w:color="auto" w:fill="FFFFFF"/>
          <w:lang w:val="en-US" w:eastAsia="zh-CN"/>
        </w:rPr>
        <w:t>8.</w:t>
      </w:r>
      <w:r>
        <w:rPr>
          <w:rFonts w:hint="eastAsia" w:ascii="宋体" w:hAnsi="宋体" w:eastAsia="宋体" w:cs="宋体"/>
          <w:b w:val="0"/>
          <w:bCs/>
          <w:color w:val="000000"/>
          <w:kern w:val="2"/>
          <w:sz w:val="21"/>
          <w:szCs w:val="21"/>
          <w:highlight w:val="none"/>
          <w:u w:val="none" w:color="000000"/>
          <w:shd w:val="clear" w:color="auto" w:fill="FFFFFF"/>
        </w:rPr>
        <w:t>2.货物在验收时，供应商应提供发票、制造厂家出具的产品合格证书、装箱清单等,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w:t>
      </w:r>
      <w:r>
        <w:rPr>
          <w:rFonts w:hint="eastAsia" w:ascii="宋体" w:hAnsi="宋体" w:eastAsia="宋体" w:cs="宋体"/>
          <w:b w:val="0"/>
          <w:bCs/>
          <w:color w:val="000000"/>
          <w:kern w:val="2"/>
          <w:sz w:val="21"/>
          <w:szCs w:val="21"/>
          <w:highlight w:val="none"/>
          <w:u w:val="none" w:color="000000"/>
          <w:shd w:val="clear" w:color="auto" w:fill="FFFFFF"/>
          <w:lang w:val="en-US" w:eastAsia="zh-CN"/>
        </w:rPr>
        <w:t>安装、技术性指导等文件和应由投标人提供的必要文件。</w:t>
      </w:r>
      <w:bookmarkEnd w:id="950"/>
    </w:p>
    <w:p>
      <w:pPr>
        <w:rPr>
          <w:rFonts w:hint="eastAsia"/>
          <w:b w:val="0"/>
          <w:bCs w:val="0"/>
          <w:highlight w:val="none"/>
          <w:lang w:val="en-US" w:eastAsia="zh-CN"/>
        </w:rPr>
      </w:pPr>
    </w:p>
    <w:p>
      <w:pPr>
        <w:keepNext w:val="0"/>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第六章  合同条款及格式</w:t>
      </w:r>
      <w:bookmarkEnd w:id="941"/>
      <w:bookmarkEnd w:id="942"/>
      <w:bookmarkEnd w:id="943"/>
      <w:bookmarkEnd w:id="944"/>
      <w:bookmarkEnd w:id="945"/>
      <w:bookmarkEnd w:id="946"/>
      <w:bookmarkEnd w:id="947"/>
      <w:bookmarkEnd w:id="948"/>
      <w:bookmarkEnd w:id="949"/>
    </w:p>
    <w:p>
      <w:pPr>
        <w:snapToGrid w:val="0"/>
        <w:spacing w:before="156" w:beforeLines="50" w:after="156" w:afterLines="50" w:line="440" w:lineRule="exact"/>
        <w:jc w:val="center"/>
        <w:outlineLvl w:val="0"/>
        <w:rPr>
          <w:rFonts w:hint="eastAsia" w:ascii="宋体" w:hAnsi="宋体" w:eastAsia="宋体" w:cs="宋体"/>
          <w:b/>
          <w:szCs w:val="21"/>
          <w:highlight w:val="none"/>
        </w:rPr>
      </w:pPr>
      <w:r>
        <w:rPr>
          <w:rFonts w:hint="eastAsia" w:ascii="宋体" w:hAnsi="宋体" w:eastAsia="宋体" w:cs="宋体"/>
          <w:b/>
          <w:sz w:val="24"/>
          <w:highlight w:val="none"/>
        </w:rPr>
        <w:t>一 合同协议书（格式）</w:t>
      </w:r>
    </w:p>
    <w:p>
      <w:pPr>
        <w:spacing w:line="440" w:lineRule="exact"/>
        <w:ind w:firstLine="2846" w:firstLineChars="1350"/>
        <w:rPr>
          <w:rFonts w:hint="eastAsia" w:ascii="宋体" w:hAnsi="宋体" w:eastAsia="宋体" w:cs="宋体"/>
          <w:szCs w:val="21"/>
          <w:highlight w:val="none"/>
        </w:rPr>
      </w:pPr>
      <w:r>
        <w:rPr>
          <w:rFonts w:hint="eastAsia" w:ascii="宋体" w:hAnsi="宋体" w:eastAsia="宋体" w:cs="宋体"/>
          <w:b/>
          <w:szCs w:val="21"/>
          <w:highlight w:val="none"/>
        </w:rPr>
        <w:t xml:space="preserve">  合同名称   </w:t>
      </w:r>
      <w:r>
        <w:rPr>
          <w:rFonts w:hint="eastAsia" w:ascii="宋体" w:hAnsi="宋体" w:eastAsia="宋体" w:cs="宋体"/>
          <w:szCs w:val="21"/>
          <w:highlight w:val="none"/>
        </w:rPr>
        <w:t xml:space="preserve">          编号</w:t>
      </w:r>
    </w:p>
    <w:p>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买    方：                                   卖    方：</w:t>
      </w:r>
    </w:p>
    <w:p>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电    话：                                   电    话：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u w:val="single"/>
        </w:rPr>
        <w:t>（买方）</w:t>
      </w:r>
      <w:r>
        <w:rPr>
          <w:rFonts w:hint="eastAsia" w:ascii="宋体" w:hAnsi="宋体" w:eastAsia="宋体" w:cs="宋体"/>
          <w:szCs w:val="21"/>
          <w:highlight w:val="none"/>
        </w:rPr>
        <w:t>的</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中所需</w:t>
      </w:r>
      <w:r>
        <w:rPr>
          <w:rFonts w:hint="eastAsia" w:ascii="宋体" w:hAnsi="宋体" w:eastAsia="宋体" w:cs="宋体"/>
          <w:szCs w:val="21"/>
          <w:highlight w:val="none"/>
          <w:u w:val="single"/>
        </w:rPr>
        <w:t>（产品名称）</w:t>
      </w:r>
      <w:r>
        <w:rPr>
          <w:rFonts w:hint="eastAsia" w:ascii="宋体" w:hAnsi="宋体" w:eastAsia="宋体" w:cs="宋体"/>
          <w:szCs w:val="21"/>
          <w:highlight w:val="none"/>
        </w:rPr>
        <w:t xml:space="preserve"> 经公开招标，确定</w:t>
      </w:r>
      <w:r>
        <w:rPr>
          <w:rFonts w:hint="eastAsia" w:ascii="宋体" w:hAnsi="宋体" w:eastAsia="宋体" w:cs="宋体"/>
          <w:szCs w:val="21"/>
          <w:highlight w:val="none"/>
          <w:u w:val="single"/>
        </w:rPr>
        <w:t>（卖方）</w:t>
      </w:r>
      <w:r>
        <w:rPr>
          <w:rFonts w:hint="eastAsia" w:ascii="宋体" w:hAnsi="宋体" w:eastAsia="宋体" w:cs="宋体"/>
          <w:szCs w:val="21"/>
          <w:highlight w:val="none"/>
        </w:rPr>
        <w:t>为中标人。按照中华人民共和国</w:t>
      </w:r>
      <w:r>
        <w:rPr>
          <w:rFonts w:hint="eastAsia" w:ascii="宋体" w:hAnsi="宋体" w:eastAsia="宋体" w:cs="宋体"/>
          <w:szCs w:val="21"/>
          <w:highlight w:val="none"/>
          <w:lang w:eastAsia="zh-CN"/>
        </w:rPr>
        <w:t>民法典</w:t>
      </w:r>
      <w:r>
        <w:rPr>
          <w:rFonts w:hint="eastAsia" w:ascii="宋体" w:hAnsi="宋体" w:eastAsia="宋体" w:cs="宋体"/>
          <w:szCs w:val="21"/>
          <w:highlight w:val="none"/>
        </w:rPr>
        <w:t>的规定，买卖双方同意按照下述的条款和条件，签署本合同。</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1、本合同文件</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下列每一文件均应作为合同的组成部分：</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谈判</w:t>
      </w:r>
      <w:r>
        <w:rPr>
          <w:rFonts w:hint="eastAsia" w:ascii="宋体" w:hAnsi="宋体" w:eastAsia="宋体" w:cs="宋体"/>
          <w:szCs w:val="21"/>
          <w:highlight w:val="none"/>
        </w:rPr>
        <w:t>文件（2）投标文件（3）中标通知书</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（4）经双方确认进入合同的其它文件、补充条款或说明</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2、合同总价</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合同总价为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元人民币。</w:t>
      </w:r>
    </w:p>
    <w:p>
      <w:pPr>
        <w:spacing w:line="440" w:lineRule="exact"/>
        <w:rPr>
          <w:rFonts w:hint="eastAsia" w:ascii="宋体" w:hAnsi="宋体" w:eastAsia="宋体" w:cs="宋体"/>
          <w:b/>
          <w:kern w:val="1"/>
          <w:szCs w:val="21"/>
          <w:highlight w:val="none"/>
        </w:rPr>
      </w:pPr>
      <w:r>
        <w:rPr>
          <w:rFonts w:hint="eastAsia" w:ascii="宋体" w:hAnsi="宋体" w:eastAsia="宋体" w:cs="宋体"/>
          <w:b/>
          <w:bCs/>
          <w:szCs w:val="21"/>
          <w:highlight w:val="none"/>
        </w:rPr>
        <w:t>付款方式：</w:t>
      </w:r>
      <w:r>
        <w:rPr>
          <w:rFonts w:hint="eastAsia" w:ascii="黑体" w:hAnsi="黑体" w:eastAsia="黑体" w:cs="黑体"/>
          <w:b/>
          <w:bCs/>
          <w:color w:val="auto"/>
          <w:sz w:val="21"/>
          <w:szCs w:val="21"/>
          <w:highlight w:val="none"/>
          <w:lang w:eastAsia="zh-CN"/>
        </w:rPr>
        <w:t>合同签订生效并具备实施条件后可支付合同价的40%预付款（预付款支付前，中标人须提供同等金额的见索即付保函），供货安装并由采购人验收合格并试用3周后，付至合同价款的100%。</w:t>
      </w:r>
    </w:p>
    <w:p>
      <w:pPr>
        <w:spacing w:line="440" w:lineRule="exact"/>
        <w:rPr>
          <w:rFonts w:hint="eastAsia" w:ascii="宋体" w:hAnsi="宋体" w:eastAsia="宋体" w:cs="宋体"/>
          <w:b/>
          <w:color w:val="FF0000"/>
          <w:kern w:val="1"/>
          <w:szCs w:val="21"/>
          <w:highlight w:val="none"/>
        </w:rPr>
      </w:pPr>
      <w:r>
        <w:rPr>
          <w:rFonts w:hint="eastAsia" w:ascii="宋体" w:hAnsi="宋体" w:eastAsia="宋体" w:cs="宋体"/>
          <w:b/>
          <w:kern w:val="1"/>
          <w:szCs w:val="21"/>
          <w:highlight w:val="none"/>
        </w:rPr>
        <w:t>供货期：</w:t>
      </w:r>
      <w:r>
        <w:rPr>
          <w:rFonts w:hint="eastAsia" w:ascii="宋体" w:hAnsi="宋体" w:eastAsia="宋体" w:cs="宋体"/>
          <w:b/>
          <w:kern w:val="1"/>
          <w:szCs w:val="21"/>
          <w:highlight w:val="none"/>
          <w:u w:val="single"/>
          <w:lang w:val="en-US" w:eastAsia="zh-CN"/>
        </w:rPr>
        <w:t xml:space="preserve">                        </w:t>
      </w:r>
      <w:r>
        <w:rPr>
          <w:rFonts w:hint="eastAsia" w:ascii="宋体" w:hAnsi="宋体" w:eastAsia="宋体" w:cs="宋体"/>
          <w:b/>
          <w:kern w:val="1"/>
          <w:szCs w:val="21"/>
          <w:highlight w:val="none"/>
        </w:rPr>
        <w:t>。</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5、保密条款</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签定保密协议等</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6、合同的生效</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合同经双方授权代表签署，买卖双方加盖印章之后生效。</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本合同一式     份，双方各执     份。</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买  方：                                    卖  方：</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名  称：（盖章）                            名  称：（盖章）</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法定代表人（或委托代理人）（签字）：        法定代表人（或委托代理人） （签字）：</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    址：                                  地    址：</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邮政编码：                                  邮政编码：</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电    话：                                  电    话：</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开户银行：                                  开户银行：</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帐    号：                                  帐    号：</w:t>
      </w:r>
    </w:p>
    <w:p>
      <w:pPr>
        <w:snapToGrid w:val="0"/>
        <w:spacing w:before="156" w:beforeLines="50" w:after="156" w:afterLines="50" w:line="440" w:lineRule="exact"/>
        <w:jc w:val="center"/>
        <w:outlineLvl w:val="0"/>
        <w:rPr>
          <w:rFonts w:hint="eastAsia" w:ascii="宋体" w:hAnsi="宋体" w:eastAsia="宋体" w:cs="宋体"/>
          <w:b/>
          <w:sz w:val="24"/>
          <w:highlight w:val="none"/>
        </w:rPr>
      </w:pPr>
      <w:bookmarkStart w:id="951" w:name="_Toc152045610"/>
      <w:bookmarkStart w:id="952" w:name="_Toc246996996"/>
      <w:bookmarkStart w:id="953" w:name="_Toc144974578"/>
      <w:bookmarkStart w:id="954" w:name="_Toc246996253"/>
      <w:bookmarkStart w:id="955" w:name="_Toc247085768"/>
      <w:bookmarkStart w:id="956" w:name="_Toc179632628"/>
      <w:bookmarkStart w:id="957" w:name="_Toc296602498"/>
      <w:bookmarkStart w:id="958" w:name="_Toc152042388"/>
      <w:r>
        <w:rPr>
          <w:rFonts w:hint="eastAsia" w:ascii="宋体" w:hAnsi="宋体" w:eastAsia="宋体" w:cs="宋体"/>
          <w:b/>
          <w:sz w:val="24"/>
          <w:highlight w:val="none"/>
        </w:rPr>
        <w:t>二  合同条款</w:t>
      </w:r>
      <w:bookmarkEnd w:id="951"/>
      <w:bookmarkEnd w:id="952"/>
      <w:bookmarkEnd w:id="953"/>
      <w:bookmarkEnd w:id="954"/>
      <w:bookmarkEnd w:id="955"/>
      <w:bookmarkEnd w:id="956"/>
      <w:bookmarkEnd w:id="957"/>
      <w:bookmarkEnd w:id="958"/>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一.  合同文件</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1、合同文件适用法律</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适用于合同文件的法律是中华人民共和国现行法律、法规及采购人所在地的地方性法规。</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2、合同文件组成和解释顺序</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(1)合同文件的组成和解释顺序如下：</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&lt;1&gt;合同的主要条款；</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&lt;2&gt;合同的一般性条款；</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&lt;3&gt;洽商、变更等明确双方权利义务的纪要、协议；</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&lt;4&gt;中标通知书、投标文件和交易文件；</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&lt;5&gt;有关图纸、标准、规范和其它有关技术资料、技术要求。</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&lt;6&gt;合同的主要条款的效力优于合同的一般性条款的效力。</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3、合同文件使用文字</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(1)合同文件使用中文书写、解释和说明。</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(2)合同文件使用技术性条款约定的为国家标准和规范；国家没有相应标准、规范时，可使用行业标准、规范。非标货物应按约定的技术性条款的标准和规范。 </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二.  标的物的一般条款</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4、完整物权</w:t>
      </w:r>
    </w:p>
    <w:p>
      <w:pPr>
        <w:tabs>
          <w:tab w:val="left" w:pos="660"/>
        </w:tabs>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对于出卖的标的物，卖方应当拥有完整物权，并且卖方负有保证第三人不得向买方主张任何权利（包括知识产权）的义务。</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5、质量保证</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widowControl w:val="0"/>
        <w:tabs>
          <w:tab w:val="left" w:pos="900"/>
        </w:tabs>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6、包装</w:t>
      </w:r>
    </w:p>
    <w:p>
      <w:pPr>
        <w:widowControl w:val="0"/>
        <w:tabs>
          <w:tab w:val="left" w:pos="900"/>
        </w:tabs>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7、伴随服务</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(1)卖方除应履行按期按量交付合格标的物的义务之外，还应提供下列服务：</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&lt;1&gt;标的物的现场安装或指导安装、启动、调试、监督（如果必须安装、调试的话）；</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&lt;2&gt;提供标的物组装和一般维修所必须的工具；</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&lt;3&gt;在合同规定的期限内对所提供标的物实行运行监督、维修服务的前提条件是该服务并不能免除卖方在质量保证期内所承担的义务；</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&lt;4&gt;对买方技术人员的技术指导或培训。</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(2)除合同另有规定之外，伴随服务的费用均已含在合同价款中，买方不再另行进行支付。</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三.  标的物的交付、检验和验收</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8、标的物的交付</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(1)标的物的所有权自标的物交付时转移。</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(2)卖方应当按照约定的期限和约定的地点交付符合交易文件要求的标的物。</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(3)卖方应当按照约定或者交易习惯向采购人交付提取标的物单证以外的有关单证和资料。</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9、检验和验收</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(2)买方根据合同规定的内容和验收标准进行验收，经检验无误后出具验收合格证明，该证明作为最终付款所需文件的组成部分。</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(3)验收期限自标的物交付之日起三十天内。特殊情况需延长的，双方应在合同条款中约定。</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四. 对标的物提出异议的时间和办法</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10、对标的物提出异议的时间和办法 </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(1)买方在验收过程中，应当于双方约定的检验期间内将标的物的数量或质量不符合约定的情形及处理方式以书面形式通知卖方。</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(2)如买方在验收期满后既不出具验收合格证明又未提出书面异议的视为卖方所交标的物符合合同规定。</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(3)卖方应在收到买方书面异议后七天内负责处理问题，否则将视为默认买方提出的异议和处理意见。</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五. 合同价款和支付</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11、合同价款和支付</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(1)本合同的结算货币为人民币，单位元。</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(2)卖方应按照双方签订的合同规定交货并在合同主要条款规定的期限内持下列单据结算货款：</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&lt;1&gt;合格的销售发票；</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&lt;2&gt;买方盖章签收后的送货回单和验收合格证明。</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(3)买方应按合同主要条款规定的期限和方式付款。</w:t>
      </w:r>
    </w:p>
    <w:p>
      <w:pPr>
        <w:widowControl w:val="0"/>
        <w:tabs>
          <w:tab w:val="left" w:pos="540"/>
        </w:tabs>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(4)根据现行税法对买方征收的与本合同有关的一切税费均由买方承担；根据现行税法对卖方征收的与本合同有关的一切税费均由卖方承担。</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六. 违约责任</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12、违约责任</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合同一方不履行合同义务或者履行合同义务不符合约定的，应当承担继续履行、采取补救措施或者赔偿损失等违约责任。</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13、买方违约责任</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(1)在合同生效后，买方要求退货的，应向卖方偿付合同总价款的3%，作为违约金。</w:t>
      </w:r>
    </w:p>
    <w:p>
      <w:pPr>
        <w:widowControl w:val="0"/>
        <w:overflowPunct w:val="0"/>
        <w:adjustRightInd w:val="0"/>
        <w:spacing w:line="440" w:lineRule="exact"/>
        <w:ind w:right="-334" w:rightChars="-159"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(2)买方逾期付款的应按照逾期付款金额的每天万分之四支付逾期付款违约金。</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(3)买方违反合同规定，拒绝接收卖方交付的符合交易文件要求的合格标的物，应当承担卖方由此造成的损失。</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14、卖方违约责任</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(1)卖方不能交货（逾期超过五天视为不能交货），或交货不合格从而影响买方按期正常使用的，应向买方偿付合同总价款3%的违约金，违约金不足以补偿损失的，买方有权要求卖方补足。</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15、不可抗力</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(1)因水灾、火灾、地震、战争等不可抗力不能履行合同的，根据不可抗力的影响，部分或者全部免除责任。但合同一方迟延履行后发生不可抗力的，不能免除责任。</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(2)合同一方因不可抗力不能履行合同的，应当及时通知对方，以减轻可能给对方造成的损失，并应当在合理期限内提供证明。</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七. 索赔</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16、索赔</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(1)买方有权根据当地产品质量检验机构或其它有权威部门出具的检验证书向卖方提出索赔。</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(2)在本合同规定的检验期和质量保证期内，如果卖方对买方提出的索赔或差异有责任，则卖方应按买方同意的下列一种或多种方式解决索赔事宜：</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&lt;1&gt;卖方同意退货，并按合同规定的货币将货款退还给买方，并承担由此发生的一切损失和费用，包括利息、银行手续费、运费、保险费、检验费、仓储费、装卸费以及为保护退回标的物所需的其它必要费用；</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&lt;2&gt;根据标的物的低劣程度、损坏程度以及甲方遭受损失的数额，经双方协商确定降低标的物的价格；</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widowControl w:val="0"/>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(4)买方提出索赔的书面材料应报当地政府采购管理部门备案。卖方同意的索赔方案应报当地政府采购管理部门审核。</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八. 履约保证金</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17、履约保证金</w:t>
      </w:r>
    </w:p>
    <w:p>
      <w:pPr>
        <w:widowControl w:val="0"/>
        <w:overflowPunct w:val="0"/>
        <w:adjustRightInd w:val="0"/>
        <w:spacing w:line="440" w:lineRule="exact"/>
        <w:ind w:firstLine="0"/>
        <w:jc w:val="both"/>
        <w:textAlignment w:val="baseline"/>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(1)卖方应在本合同签订时，按交易文件的约定提供相应的履约保证金。</w:t>
      </w:r>
    </w:p>
    <w:p>
      <w:pPr>
        <w:widowControl w:val="0"/>
        <w:overflowPunct w:val="0"/>
        <w:adjustRightInd w:val="0"/>
        <w:spacing w:line="440" w:lineRule="exact"/>
        <w:ind w:right="-334" w:rightChars="-159"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(2)如果卖方未能履行合同规定的任何义务，买方有权从履约保证金中取得补偿。</w:t>
      </w:r>
    </w:p>
    <w:p>
      <w:pPr>
        <w:widowControl w:val="0"/>
        <w:overflowPunct w:val="0"/>
        <w:adjustRightInd w:val="0"/>
        <w:spacing w:line="440" w:lineRule="exact"/>
        <w:ind w:right="-874" w:rightChars="-416"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(3)履约保证金（无息）将在货物全部供货安装完毕并验收合格无质量问题后一个月内无息退还。</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九.  合同的解除和转让</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18、合同的解除</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(1)买方和卖方协商一致，可以解除合同。</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(2)有下列情形之一，合同一方可以解除合同：</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&lt;1&gt;因不可抗力致使不能实现合同目的，未受不可抗力影响的一方有权解除合同；</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&lt;2&gt;因合同一方违约导致合同不能履行，另一方有权解除合同。</w:t>
      </w:r>
    </w:p>
    <w:p>
      <w:pPr>
        <w:widowControl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(3)有权解除合同的一方，应当在违约事实或不可抗力发生之后三十天内书面通知对方以主张解除合同，合同在书面通知到达对方时解除。</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19、合同的转让：合同的部分和全部都不得转让。</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十. 合同的生效</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20、合同的生效</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本合同在双方签字盖章，备案后生效。</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十一. 争议解决</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21、争议解决</w:t>
      </w:r>
    </w:p>
    <w:p>
      <w:pPr>
        <w:widowControl w:val="0"/>
        <w:tabs>
          <w:tab w:val="left" w:pos="900"/>
        </w:tabs>
        <w:overflowPunct w:val="0"/>
        <w:adjustRightInd w:val="0"/>
        <w:spacing w:line="440" w:lineRule="exact"/>
        <w:ind w:firstLine="0"/>
        <w:jc w:val="both"/>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因合同及合同有关事项发生的争议，向项目所在地有管辖权的人民法院起诉。</w:t>
      </w:r>
    </w:p>
    <w:p>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十二 .附则</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22、合同份数。</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本合同一式陆份，买卖双方各执二份，招标代理机构二份。</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23、未尽事宜</w:t>
      </w:r>
    </w:p>
    <w:p>
      <w:pPr>
        <w:pStyle w:val="2"/>
        <w:rPr>
          <w:rFonts w:hint="eastAsia"/>
          <w:color w:val="auto"/>
          <w:highlight w:val="none"/>
        </w:rPr>
      </w:pPr>
      <w:r>
        <w:rPr>
          <w:rFonts w:hint="eastAsia" w:ascii="宋体" w:hAnsi="宋体" w:eastAsia="宋体" w:cs="宋体"/>
          <w:szCs w:val="21"/>
          <w:highlight w:val="none"/>
        </w:rPr>
        <w:t>本合同未尽事宜应按《中华人民共和国政府采购法》、《中华人民共和国</w:t>
      </w:r>
      <w:r>
        <w:rPr>
          <w:rFonts w:hint="eastAsia" w:ascii="宋体" w:hAnsi="宋体" w:eastAsia="宋体" w:cs="宋体"/>
          <w:szCs w:val="21"/>
          <w:highlight w:val="none"/>
          <w:lang w:eastAsia="zh-CN"/>
        </w:rPr>
        <w:t>民法典</w:t>
      </w:r>
      <w:r>
        <w:rPr>
          <w:rFonts w:hint="eastAsia" w:ascii="宋体" w:hAnsi="宋体" w:eastAsia="宋体" w:cs="宋体"/>
          <w:szCs w:val="21"/>
          <w:highlight w:val="none"/>
        </w:rPr>
        <w:t>》、《中华人民共和国产品质量法》之规定解释。</w:t>
      </w:r>
    </w:p>
    <w:p>
      <w:pPr>
        <w:pStyle w:val="2"/>
        <w:ind w:left="0" w:leftChars="0" w:firstLine="0" w:firstLineChars="0"/>
        <w:rPr>
          <w:color w:val="auto"/>
          <w:highlight w:val="none"/>
        </w:rPr>
      </w:pPr>
      <w:bookmarkStart w:id="959" w:name="_Toc23613"/>
      <w:bookmarkStart w:id="960" w:name="_Toc15058931"/>
      <w:bookmarkStart w:id="961" w:name="_Toc28510"/>
      <w:bookmarkStart w:id="962" w:name="_Toc40723459"/>
      <w:bookmarkStart w:id="963" w:name="_Toc11689"/>
      <w:bookmarkStart w:id="964" w:name="_Toc14707"/>
      <w:bookmarkStart w:id="965" w:name="_Toc484173786"/>
      <w:bookmarkStart w:id="966" w:name="_Toc2741"/>
      <w:bookmarkStart w:id="967" w:name="_Toc506107337"/>
      <w:bookmarkStart w:id="968" w:name="_Toc5612"/>
    </w:p>
    <w:p>
      <w:pPr>
        <w:pStyle w:val="74"/>
        <w:rPr>
          <w:rFonts w:hint="eastAsia" w:hAnsi="宋体"/>
          <w:b/>
          <w:bCs/>
          <w:color w:val="auto"/>
          <w:sz w:val="32"/>
          <w:szCs w:val="32"/>
          <w:highlight w:val="none"/>
        </w:rPr>
      </w:pPr>
    </w:p>
    <w:p>
      <w:pPr>
        <w:keepNext w:val="0"/>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 </w:t>
      </w:r>
      <w:bookmarkEnd w:id="959"/>
      <w:bookmarkEnd w:id="960"/>
      <w:bookmarkEnd w:id="961"/>
      <w:bookmarkEnd w:id="962"/>
      <w:bookmarkEnd w:id="963"/>
      <w:bookmarkEnd w:id="964"/>
      <w:bookmarkEnd w:id="965"/>
      <w:bookmarkEnd w:id="966"/>
      <w:bookmarkEnd w:id="967"/>
      <w:bookmarkEnd w:id="968"/>
      <w:bookmarkStart w:id="969" w:name="_Toc179632806"/>
      <w:bookmarkStart w:id="970" w:name="_Toc25621"/>
      <w:bookmarkStart w:id="971" w:name="_Toc10891"/>
      <w:bookmarkStart w:id="972" w:name="_Toc40723462"/>
      <w:bookmarkStart w:id="973" w:name="_Toc246996354"/>
      <w:bookmarkStart w:id="974" w:name="_Toc324404888"/>
      <w:bookmarkStart w:id="975" w:name="_Toc506107340"/>
      <w:bookmarkStart w:id="976" w:name="_Toc6996"/>
      <w:bookmarkStart w:id="977" w:name="_Toc152045786"/>
      <w:bookmarkStart w:id="978" w:name="_Toc15058934"/>
      <w:bookmarkStart w:id="979" w:name="_Toc152042575"/>
      <w:bookmarkStart w:id="980" w:name="_Toc13030"/>
      <w:bookmarkStart w:id="981" w:name="_Toc23210"/>
      <w:bookmarkStart w:id="982" w:name="_Toc247085872"/>
      <w:bookmarkStart w:id="983" w:name="_Toc26252"/>
      <w:bookmarkStart w:id="984" w:name="_Toc144974855"/>
      <w:bookmarkStart w:id="985" w:name="_Toc246997097"/>
      <w:r>
        <w:rPr>
          <w:rFonts w:hint="eastAsia" w:ascii="宋体" w:hAnsi="宋体" w:cs="宋体"/>
          <w:b/>
          <w:bCs/>
          <w:color w:val="auto"/>
          <w:sz w:val="32"/>
          <w:szCs w:val="32"/>
          <w:highlight w:val="none"/>
          <w:lang w:val="en-US" w:eastAsia="zh-CN"/>
        </w:rPr>
        <w:t>第七章   响应文件格式</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jc w:val="right"/>
        <w:rPr>
          <w:rFonts w:hint="eastAsia" w:ascii="宋体" w:hAnsi="宋体" w:eastAsia="宋体" w:cs="宋体"/>
          <w:color w:val="auto"/>
          <w:highlight w:val="none"/>
          <w:lang w:eastAsia="zh-CN"/>
        </w:rPr>
      </w:pPr>
      <w:r>
        <w:rPr>
          <w:rFonts w:hint="eastAsia" w:ascii="宋体" w:hAnsi="宋体" w:cs="宋体"/>
          <w:color w:val="auto"/>
          <w:highlight w:val="none"/>
          <w:lang w:eastAsia="zh-CN"/>
        </w:rPr>
        <w:t>正本或副本</w:t>
      </w:r>
    </w:p>
    <w:p>
      <w:pPr>
        <w:rPr>
          <w:rFonts w:hint="eastAsia" w:ascii="宋体" w:hAnsi="宋体" w:cs="宋体"/>
          <w:color w:val="auto"/>
          <w:highlight w:val="none"/>
        </w:rPr>
      </w:pPr>
    </w:p>
    <w:p>
      <w:pPr>
        <w:rPr>
          <w:rFonts w:hint="eastAsia" w:ascii="宋体" w:hAnsi="宋体" w:cs="宋体"/>
          <w:color w:val="auto"/>
          <w:highlight w:val="none"/>
        </w:rPr>
      </w:pPr>
    </w:p>
    <w:p>
      <w:pPr>
        <w:jc w:val="center"/>
        <w:rPr>
          <w:rFonts w:hint="eastAsia"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p>
    <w:p>
      <w:pPr>
        <w:jc w:val="center"/>
        <w:rPr>
          <w:rFonts w:hint="eastAsia" w:ascii="宋体" w:hAnsi="宋体" w:cs="宋体"/>
          <w:color w:val="auto"/>
          <w:sz w:val="20"/>
          <w:szCs w:val="20"/>
          <w:highlight w:val="none"/>
        </w:rPr>
      </w:pPr>
    </w:p>
    <w:p>
      <w:pPr>
        <w:jc w:val="center"/>
        <w:rPr>
          <w:rFonts w:hint="eastAsia" w:ascii="宋体" w:hAnsi="宋体" w:cs="宋体"/>
          <w:color w:val="auto"/>
          <w:sz w:val="20"/>
          <w:szCs w:val="20"/>
          <w:highlight w:val="none"/>
        </w:rPr>
      </w:pPr>
    </w:p>
    <w:p>
      <w:pPr>
        <w:jc w:val="cente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投  标  文  件 一</w:t>
      </w:r>
    </w:p>
    <w:p>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（资信证明文件）</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盖章</w:t>
      </w:r>
      <w:r>
        <w:rPr>
          <w:rFonts w:hint="eastAsia" w:ascii="宋体" w:hAnsi="宋体" w:cs="宋体"/>
          <w:color w:val="auto"/>
          <w:sz w:val="28"/>
          <w:szCs w:val="28"/>
          <w:highlight w:val="none"/>
        </w:rPr>
        <w:t>）</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签字或盖章</w:t>
      </w:r>
      <w:r>
        <w:rPr>
          <w:rFonts w:hint="eastAsia" w:ascii="宋体" w:hAnsi="宋体" w:cs="宋体"/>
          <w:color w:val="auto"/>
          <w:sz w:val="28"/>
          <w:szCs w:val="28"/>
          <w:highlight w:val="none"/>
        </w:rPr>
        <w:t>）</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540" w:lineRule="exact"/>
        <w:rPr>
          <w:rFonts w:hint="eastAsia" w:ascii="宋体" w:hAnsi="宋体" w:cs="宋体"/>
          <w:color w:val="auto"/>
          <w:highlight w:val="none"/>
        </w:rPr>
      </w:pPr>
    </w:p>
    <w:p>
      <w:pPr>
        <w:spacing w:line="440" w:lineRule="exact"/>
        <w:ind w:firstLine="562" w:firstLineChars="200"/>
        <w:rPr>
          <w:rFonts w:hint="eastAsia" w:ascii="宋体" w:hAnsi="宋体" w:cs="宋体"/>
          <w:b/>
          <w:color w:val="auto"/>
          <w:sz w:val="28"/>
          <w:szCs w:val="28"/>
          <w:highlight w:val="none"/>
        </w:rPr>
      </w:pPr>
    </w:p>
    <w:p>
      <w:pPr>
        <w:pStyle w:val="7"/>
        <w:rPr>
          <w:rFonts w:hint="eastAsia"/>
          <w:color w:val="auto"/>
          <w:highlight w:val="none"/>
        </w:rPr>
      </w:pPr>
    </w:p>
    <w:p>
      <w:pPr>
        <w:rPr>
          <w:rFonts w:hint="eastAsia"/>
          <w:color w:val="auto"/>
          <w:highlight w:val="none"/>
        </w:rPr>
      </w:pPr>
    </w:p>
    <w:p>
      <w:pPr>
        <w:spacing w:line="440" w:lineRule="exact"/>
        <w:ind w:firstLine="562" w:firstLineChars="200"/>
        <w:rPr>
          <w:rFonts w:hint="eastAsia" w:ascii="宋体" w:hAnsi="宋体" w:cs="宋体"/>
          <w:b/>
          <w:color w:val="auto"/>
          <w:sz w:val="28"/>
          <w:szCs w:val="28"/>
          <w:highlight w:val="none"/>
        </w:rPr>
      </w:pPr>
    </w:p>
    <w:p>
      <w:pPr>
        <w:spacing w:line="44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响应文件一：资信证明文件目录</w:t>
      </w:r>
    </w:p>
    <w:p>
      <w:pPr>
        <w:spacing w:line="440" w:lineRule="exact"/>
        <w:rPr>
          <w:rFonts w:hint="eastAsia" w:ascii="宋体" w:hAnsi="宋体" w:cs="宋体"/>
          <w:color w:val="auto"/>
          <w:sz w:val="20"/>
          <w:szCs w:val="20"/>
          <w:highlight w:val="none"/>
        </w:rPr>
      </w:pP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s="宋体"/>
          <w:color w:val="auto"/>
          <w:szCs w:val="21"/>
          <w:highlight w:val="none"/>
        </w:rPr>
      </w:pPr>
      <w:bookmarkStart w:id="986" w:name="_Toc247085891"/>
      <w:bookmarkStart w:id="987" w:name="_Toc246997116"/>
      <w:bookmarkStart w:id="988" w:name="_Toc152045808"/>
      <w:bookmarkStart w:id="989" w:name="_Toc246996373"/>
      <w:bookmarkStart w:id="990" w:name="_Toc179632828"/>
      <w:bookmarkStart w:id="991" w:name="_Toc144974876"/>
      <w:bookmarkStart w:id="992" w:name="_Toc152042597"/>
      <w:bookmarkStart w:id="993" w:name="_Toc324404889"/>
      <w:bookmarkStart w:id="994" w:name="_Toc296602618"/>
      <w:r>
        <w:rPr>
          <w:rFonts w:hint="eastAsia" w:ascii="宋体" w:hAnsi="宋体" w:cs="宋体"/>
          <w:color w:val="auto"/>
          <w:szCs w:val="21"/>
          <w:highlight w:val="none"/>
        </w:rPr>
        <w:t>（1）法定代表人身份证明文件和本人有效身份证(或法定代表人授权委托书和委托代理人有效身份证)；</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（2）投标人具有承担民事责任的能力；（若事业单位提供事业单位法人证书）</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）参加本项目前三年内无重大违法记录声明（格式自拟）,核验标书；</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cs="宋体"/>
          <w:color w:val="auto"/>
          <w:sz w:val="20"/>
          <w:szCs w:val="20"/>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）诚信投标承诺书（格式见附件）,核验标书</w:t>
      </w:r>
      <w:r>
        <w:rPr>
          <w:rFonts w:hint="eastAsia" w:ascii="宋体" w:hAnsi="宋体" w:cs="宋体"/>
          <w:bCs/>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00" w:firstLineChars="200"/>
        <w:rPr>
          <w:rFonts w:hint="eastAsia" w:ascii="宋体" w:hAnsi="宋体" w:cs="宋体"/>
          <w:color w:val="auto"/>
          <w:sz w:val="20"/>
          <w:szCs w:val="20"/>
          <w:highlight w:val="none"/>
        </w:rPr>
      </w:pPr>
    </w:p>
    <w:p>
      <w:pPr>
        <w:spacing w:line="440" w:lineRule="exact"/>
        <w:rPr>
          <w:rFonts w:hint="eastAsia" w:ascii="宋体" w:hAnsi="宋体" w:cs="宋体"/>
          <w:color w:val="auto"/>
          <w:sz w:val="20"/>
          <w:szCs w:val="20"/>
          <w:highlight w:val="none"/>
        </w:rPr>
      </w:pPr>
    </w:p>
    <w:p>
      <w:pPr>
        <w:spacing w:line="440" w:lineRule="exact"/>
        <w:rPr>
          <w:rFonts w:hint="eastAsia" w:ascii="宋体" w:hAnsi="宋体" w:cs="宋体"/>
          <w:color w:val="auto"/>
          <w:sz w:val="20"/>
          <w:szCs w:val="20"/>
          <w:highlight w:val="none"/>
        </w:rPr>
      </w:pPr>
    </w:p>
    <w:p>
      <w:pPr>
        <w:spacing w:line="440" w:lineRule="exact"/>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p>
      <w:pPr>
        <w:pStyle w:val="74"/>
        <w:rPr>
          <w:rFonts w:hint="eastAsia" w:ascii="宋体" w:hAnsi="宋体" w:cs="宋体"/>
          <w:color w:val="auto"/>
          <w:sz w:val="20"/>
          <w:szCs w:val="20"/>
          <w:highlight w:val="none"/>
        </w:rPr>
      </w:pPr>
    </w:p>
    <w:bookmarkEnd w:id="986"/>
    <w:bookmarkEnd w:id="987"/>
    <w:bookmarkEnd w:id="988"/>
    <w:bookmarkEnd w:id="989"/>
    <w:bookmarkEnd w:id="990"/>
    <w:bookmarkEnd w:id="991"/>
    <w:bookmarkEnd w:id="992"/>
    <w:bookmarkEnd w:id="993"/>
    <w:bookmarkEnd w:id="994"/>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法定代表人身份证明文件或授权委托书</w:t>
      </w:r>
    </w:p>
    <w:p>
      <w:pPr>
        <w:pStyle w:val="42"/>
        <w:spacing w:before="312" w:beforeLines="100" w:after="312" w:afterLines="100" w:line="480" w:lineRule="exact"/>
        <w:rPr>
          <w:rFonts w:hint="eastAsia" w:ascii="宋体"/>
          <w:b/>
          <w:color w:val="auto"/>
          <w:sz w:val="30"/>
          <w:szCs w:val="30"/>
          <w:highlight w:val="none"/>
        </w:rPr>
      </w:pPr>
      <w:r>
        <w:rPr>
          <w:rFonts w:hint="eastAsia" w:ascii="宋体"/>
          <w:color w:val="auto"/>
          <w:sz w:val="30"/>
          <w:szCs w:val="30"/>
          <w:highlight w:val="none"/>
        </w:rPr>
        <w:t>法定代表人身份证明文件</w:t>
      </w:r>
    </w:p>
    <w:p>
      <w:pPr>
        <w:spacing w:line="700" w:lineRule="exact"/>
        <w:rPr>
          <w:rFonts w:hint="eastAsia" w:ascii="宋体"/>
          <w:color w:val="auto"/>
          <w:sz w:val="28"/>
          <w:szCs w:val="28"/>
          <w:highlight w:val="none"/>
        </w:rPr>
      </w:pPr>
      <w:r>
        <w:rPr>
          <w:rFonts w:hint="eastAsia" w:ascii="宋体"/>
          <w:color w:val="auto"/>
          <w:sz w:val="28"/>
          <w:szCs w:val="28"/>
          <w:highlight w:val="none"/>
          <w:lang w:eastAsia="zh-CN"/>
        </w:rPr>
        <w:t>供应商</w:t>
      </w:r>
      <w:r>
        <w:rPr>
          <w:rFonts w:hint="eastAsia" w:ascii="宋体"/>
          <w:color w:val="auto"/>
          <w:sz w:val="28"/>
          <w:szCs w:val="28"/>
          <w:highlight w:val="none"/>
        </w:rPr>
        <w:t>名称：</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w:t>
      </w:r>
    </w:p>
    <w:p>
      <w:pPr>
        <w:spacing w:line="700" w:lineRule="exact"/>
        <w:rPr>
          <w:rFonts w:hint="eastAsia" w:ascii="宋体"/>
          <w:color w:val="auto"/>
          <w:sz w:val="28"/>
          <w:szCs w:val="28"/>
          <w:highlight w:val="none"/>
        </w:rPr>
      </w:pPr>
      <w:r>
        <w:rPr>
          <w:rFonts w:hint="eastAsia" w:ascii="宋体"/>
          <w:color w:val="auto"/>
          <w:sz w:val="28"/>
          <w:szCs w:val="28"/>
          <w:highlight w:val="none"/>
        </w:rPr>
        <w:t xml:space="preserve">单位性质： </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w:t>
      </w:r>
    </w:p>
    <w:p>
      <w:pPr>
        <w:spacing w:line="700" w:lineRule="exact"/>
        <w:rPr>
          <w:rFonts w:hint="eastAsia" w:ascii="宋体"/>
          <w:color w:val="auto"/>
          <w:sz w:val="28"/>
          <w:szCs w:val="28"/>
          <w:highlight w:val="none"/>
        </w:rPr>
      </w:pPr>
      <w:r>
        <w:rPr>
          <w:rFonts w:hint="eastAsia" w:ascii="宋体"/>
          <w:color w:val="auto"/>
          <w:sz w:val="28"/>
          <w:szCs w:val="28"/>
          <w:highlight w:val="none"/>
        </w:rPr>
        <w:t>地    址：</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w:t>
      </w:r>
    </w:p>
    <w:p>
      <w:pPr>
        <w:spacing w:line="700" w:lineRule="exact"/>
        <w:rPr>
          <w:rFonts w:hint="eastAsia" w:ascii="宋体"/>
          <w:color w:val="auto"/>
          <w:sz w:val="28"/>
          <w:szCs w:val="28"/>
          <w:highlight w:val="none"/>
        </w:rPr>
      </w:pPr>
      <w:r>
        <w:rPr>
          <w:rFonts w:hint="eastAsia" w:ascii="宋体"/>
          <w:color w:val="auto"/>
          <w:sz w:val="28"/>
          <w:szCs w:val="28"/>
          <w:highlight w:val="none"/>
        </w:rPr>
        <w:t>成立时间：</w:t>
      </w: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pacing w:line="700" w:lineRule="exact"/>
        <w:rPr>
          <w:rFonts w:hint="eastAsia" w:ascii="宋体"/>
          <w:color w:val="auto"/>
          <w:sz w:val="28"/>
          <w:szCs w:val="28"/>
          <w:highlight w:val="none"/>
        </w:rPr>
      </w:pPr>
      <w:r>
        <w:rPr>
          <w:rFonts w:hint="eastAsia" w:ascii="宋体"/>
          <w:color w:val="auto"/>
          <w:sz w:val="28"/>
          <w:szCs w:val="28"/>
          <w:highlight w:val="none"/>
        </w:rPr>
        <w:t>经营期限：</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w:t>
      </w:r>
    </w:p>
    <w:p>
      <w:pPr>
        <w:spacing w:line="700" w:lineRule="exact"/>
        <w:jc w:val="left"/>
        <w:rPr>
          <w:rFonts w:hint="eastAsia" w:ascii="宋体"/>
          <w:color w:val="auto"/>
          <w:sz w:val="28"/>
          <w:szCs w:val="28"/>
          <w:highlight w:val="none"/>
          <w:u w:val="single"/>
        </w:rPr>
      </w:pPr>
      <w:r>
        <w:rPr>
          <w:rFonts w:hint="eastAsia" w:ascii="宋体"/>
          <w:color w:val="auto"/>
          <w:spacing w:val="240"/>
          <w:sz w:val="28"/>
          <w:szCs w:val="28"/>
          <w:highlight w:val="none"/>
        </w:rPr>
        <w:t>姓</w:t>
      </w:r>
      <w:r>
        <w:rPr>
          <w:rFonts w:hint="eastAsia" w:ascii="宋体"/>
          <w:color w:val="auto"/>
          <w:sz w:val="28"/>
          <w:szCs w:val="28"/>
          <w:highlight w:val="none"/>
        </w:rPr>
        <w:t>名：</w:t>
      </w:r>
      <w:r>
        <w:rPr>
          <w:rFonts w:hint="eastAsia" w:ascii="宋体"/>
          <w:color w:val="auto"/>
          <w:sz w:val="28"/>
          <w:szCs w:val="28"/>
          <w:highlight w:val="none"/>
          <w:u w:val="single"/>
        </w:rPr>
        <w:t xml:space="preserve">           </w:t>
      </w:r>
      <w:r>
        <w:rPr>
          <w:rFonts w:hint="eastAsia" w:ascii="宋体"/>
          <w:color w:val="auto"/>
          <w:sz w:val="28"/>
          <w:szCs w:val="28"/>
          <w:highlight w:val="none"/>
        </w:rPr>
        <w:t>身份证号码：</w:t>
      </w:r>
      <w:r>
        <w:rPr>
          <w:rFonts w:hint="eastAsia" w:ascii="宋体"/>
          <w:color w:val="auto"/>
          <w:sz w:val="28"/>
          <w:szCs w:val="28"/>
          <w:highlight w:val="none"/>
          <w:u w:val="single"/>
        </w:rPr>
        <w:t xml:space="preserve">             </w:t>
      </w:r>
      <w:r>
        <w:rPr>
          <w:rFonts w:hint="eastAsia" w:ascii="宋体"/>
          <w:color w:val="auto"/>
          <w:sz w:val="28"/>
          <w:szCs w:val="28"/>
          <w:highlight w:val="none"/>
        </w:rPr>
        <w:t>性别</w:t>
      </w:r>
      <w:r>
        <w:rPr>
          <w:rFonts w:hint="eastAsia" w:ascii="宋体"/>
          <w:color w:val="auto"/>
          <w:sz w:val="28"/>
          <w:szCs w:val="28"/>
          <w:highlight w:val="none"/>
          <w:u w:val="single"/>
        </w:rPr>
        <w:t xml:space="preserve">：            </w:t>
      </w:r>
      <w:r>
        <w:rPr>
          <w:rFonts w:hint="eastAsia" w:ascii="宋体"/>
          <w:color w:val="auto"/>
          <w:sz w:val="28"/>
          <w:szCs w:val="28"/>
          <w:highlight w:val="none"/>
        </w:rPr>
        <w:t>年龄：</w:t>
      </w:r>
      <w:r>
        <w:rPr>
          <w:rFonts w:hint="eastAsia" w:ascii="宋体"/>
          <w:color w:val="auto"/>
          <w:sz w:val="28"/>
          <w:szCs w:val="28"/>
          <w:highlight w:val="none"/>
          <w:u w:val="single"/>
        </w:rPr>
        <w:t xml:space="preserve">       </w:t>
      </w:r>
      <w:r>
        <w:rPr>
          <w:rFonts w:hint="eastAsia" w:ascii="宋体"/>
          <w:color w:val="auto"/>
          <w:sz w:val="28"/>
          <w:szCs w:val="28"/>
          <w:highlight w:val="none"/>
        </w:rPr>
        <w:t>职务：</w:t>
      </w:r>
      <w:r>
        <w:rPr>
          <w:rFonts w:hint="eastAsia" w:ascii="宋体"/>
          <w:color w:val="auto"/>
          <w:sz w:val="28"/>
          <w:szCs w:val="28"/>
          <w:highlight w:val="none"/>
          <w:u w:val="single"/>
        </w:rPr>
        <w:t xml:space="preserve">       </w:t>
      </w:r>
      <w:r>
        <w:rPr>
          <w:rFonts w:hint="eastAsia" w:ascii="宋体"/>
          <w:color w:val="auto"/>
          <w:sz w:val="28"/>
          <w:szCs w:val="28"/>
          <w:highlight w:val="none"/>
        </w:rPr>
        <w:t>_，系</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eastAsia="zh-CN"/>
        </w:rPr>
        <w:t>供应商</w:t>
      </w:r>
      <w:r>
        <w:rPr>
          <w:rFonts w:hint="eastAsia" w:ascii="宋体"/>
          <w:color w:val="auto"/>
          <w:sz w:val="28"/>
          <w:szCs w:val="28"/>
          <w:highlight w:val="none"/>
        </w:rPr>
        <w:t>名称）的法定代表人。</w:t>
      </w:r>
    </w:p>
    <w:p>
      <w:pPr>
        <w:spacing w:line="700" w:lineRule="exact"/>
        <w:rPr>
          <w:rFonts w:hint="eastAsia" w:ascii="宋体"/>
          <w:color w:val="auto"/>
          <w:sz w:val="28"/>
          <w:szCs w:val="28"/>
          <w:highlight w:val="none"/>
        </w:rPr>
      </w:pPr>
      <w:r>
        <w:rPr>
          <w:rFonts w:hint="eastAsia" w:ascii="宋体"/>
          <w:color w:val="auto"/>
          <w:sz w:val="28"/>
          <w:szCs w:val="28"/>
          <w:highlight w:val="none"/>
        </w:rPr>
        <w:t>特此证明。</w:t>
      </w:r>
    </w:p>
    <w:p>
      <w:pPr>
        <w:spacing w:line="700" w:lineRule="exact"/>
        <w:rPr>
          <w:rFonts w:hint="eastAsia" w:ascii="宋体"/>
          <w:color w:val="auto"/>
          <w:sz w:val="28"/>
          <w:szCs w:val="28"/>
          <w:highlight w:val="none"/>
        </w:rPr>
      </w:pPr>
    </w:p>
    <w:p>
      <w:pPr>
        <w:spacing w:line="700" w:lineRule="exact"/>
        <w:rPr>
          <w:rFonts w:hint="eastAsia" w:ascii="宋体" w:eastAsia="宋体"/>
          <w:color w:val="auto"/>
          <w:sz w:val="28"/>
          <w:szCs w:val="28"/>
          <w:highlight w:val="none"/>
          <w:lang w:eastAsia="zh-CN"/>
        </w:rPr>
      </w:pPr>
      <w:r>
        <w:rPr>
          <w:rFonts w:hint="eastAsia" w:ascii="宋体" w:hAnsi="宋体" w:cs="宋体"/>
          <w:b/>
          <w:color w:val="auto"/>
          <w:sz w:val="28"/>
          <w:szCs w:val="28"/>
          <w:highlight w:val="none"/>
        </w:rPr>
        <w:t>附：法定代表人身份证</w:t>
      </w:r>
      <w:r>
        <w:rPr>
          <w:rFonts w:hint="eastAsia" w:ascii="宋体" w:hAnsi="宋体" w:cs="宋体"/>
          <w:b/>
          <w:color w:val="auto"/>
          <w:sz w:val="28"/>
          <w:szCs w:val="28"/>
          <w:highlight w:val="none"/>
          <w:lang w:eastAsia="zh-CN"/>
        </w:rPr>
        <w:t>复印件</w:t>
      </w:r>
    </w:p>
    <w:p>
      <w:pPr>
        <w:spacing w:line="700" w:lineRule="exact"/>
        <w:rPr>
          <w:rFonts w:hint="eastAsia" w:ascii="宋体"/>
          <w:color w:val="auto"/>
          <w:sz w:val="28"/>
          <w:szCs w:val="28"/>
          <w:highlight w:val="none"/>
        </w:rPr>
      </w:pPr>
    </w:p>
    <w:p>
      <w:pPr>
        <w:spacing w:line="700" w:lineRule="exact"/>
        <w:ind w:firstLine="4340" w:firstLineChars="1550"/>
        <w:rPr>
          <w:rFonts w:hint="eastAsia" w:ascii="宋体"/>
          <w:color w:val="auto"/>
          <w:sz w:val="28"/>
          <w:szCs w:val="28"/>
          <w:highlight w:val="none"/>
        </w:rPr>
      </w:pPr>
      <w:r>
        <w:rPr>
          <w:rFonts w:hint="eastAsia" w:ascii="宋体"/>
          <w:color w:val="auto"/>
          <w:sz w:val="28"/>
          <w:szCs w:val="28"/>
          <w:highlight w:val="none"/>
          <w:lang w:eastAsia="zh-CN"/>
        </w:rPr>
        <w:t>供应商</w:t>
      </w:r>
      <w:r>
        <w:rPr>
          <w:rFonts w:hint="eastAsia" w:ascii="宋体"/>
          <w:color w:val="auto"/>
          <w:sz w:val="28"/>
          <w:szCs w:val="28"/>
          <w:highlight w:val="none"/>
        </w:rPr>
        <w:t>：</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盖章</w:t>
      </w:r>
      <w:r>
        <w:rPr>
          <w:rFonts w:hint="eastAsia" w:ascii="宋体"/>
          <w:color w:val="auto"/>
          <w:sz w:val="28"/>
          <w:szCs w:val="28"/>
          <w:highlight w:val="none"/>
        </w:rPr>
        <w:t>）</w:t>
      </w:r>
    </w:p>
    <w:p>
      <w:pPr>
        <w:spacing w:line="700" w:lineRule="exact"/>
        <w:rPr>
          <w:rFonts w:hint="eastAsia" w:ascii="宋体"/>
          <w:color w:val="auto"/>
          <w:sz w:val="28"/>
          <w:szCs w:val="28"/>
          <w:highlight w:val="none"/>
        </w:rPr>
      </w:pPr>
      <w:r>
        <w:rPr>
          <w:rFonts w:hint="eastAsia" w:ascii="宋体"/>
          <w:color w:val="auto"/>
          <w:sz w:val="28"/>
          <w:szCs w:val="28"/>
          <w:highlight w:val="none"/>
        </w:rPr>
        <w:t xml:space="preserve">                                        年    月     日</w:t>
      </w:r>
    </w:p>
    <w:p>
      <w:pPr>
        <w:spacing w:line="700" w:lineRule="exact"/>
        <w:rPr>
          <w:rFonts w:hint="eastAsia" w:ascii="宋体"/>
          <w:color w:val="auto"/>
          <w:sz w:val="28"/>
          <w:szCs w:val="28"/>
          <w:highlight w:val="none"/>
        </w:rPr>
      </w:pPr>
    </w:p>
    <w:p>
      <w:pPr>
        <w:pStyle w:val="7"/>
        <w:rPr>
          <w:rFonts w:hint="eastAsia" w:ascii="宋体"/>
          <w:color w:val="auto"/>
          <w:sz w:val="28"/>
          <w:szCs w:val="28"/>
          <w:highlight w:val="none"/>
        </w:rPr>
      </w:pPr>
    </w:p>
    <w:p>
      <w:pPr>
        <w:rPr>
          <w:rFonts w:hint="eastAsia"/>
          <w:color w:val="auto"/>
          <w:highlight w:val="none"/>
        </w:rPr>
      </w:pPr>
    </w:p>
    <w:p>
      <w:pPr>
        <w:spacing w:line="700" w:lineRule="exact"/>
        <w:rPr>
          <w:rFonts w:hint="eastAsia" w:ascii="宋体" w:hAnsi="宋体" w:cs="宋体"/>
          <w:color w:val="auto"/>
          <w:sz w:val="28"/>
          <w:szCs w:val="28"/>
          <w:highlight w:val="none"/>
        </w:rPr>
      </w:pPr>
    </w:p>
    <w:p>
      <w:pPr>
        <w:pStyle w:val="42"/>
        <w:spacing w:before="312" w:beforeLines="100" w:after="312" w:afterLines="100" w:line="48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授权委托书</w:t>
      </w:r>
    </w:p>
    <w:p>
      <w:pPr>
        <w:spacing w:line="7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本人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（姓名）系</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）的法定代表人，现委托</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（姓名）为我方代理人。代理人根据授权，以我方名义签署、澄清、说明、补正、递交、撤回、修改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”(项目名称、编号）响应文件，全权处理与该项目</w:t>
      </w:r>
      <w:r>
        <w:rPr>
          <w:rFonts w:hint="eastAsia" w:ascii="宋体" w:hAnsi="宋体" w:cs="宋体"/>
          <w:color w:val="auto"/>
          <w:sz w:val="28"/>
          <w:szCs w:val="28"/>
          <w:highlight w:val="none"/>
          <w:lang w:val="en-US" w:eastAsia="zh-CN"/>
        </w:rPr>
        <w:t>开启</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谈判</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评审答疑、</w:t>
      </w:r>
      <w:r>
        <w:rPr>
          <w:rFonts w:hint="eastAsia" w:ascii="宋体" w:hAnsi="宋体" w:cs="宋体"/>
          <w:color w:val="auto"/>
          <w:sz w:val="28"/>
          <w:szCs w:val="28"/>
          <w:highlight w:val="none"/>
        </w:rPr>
        <w:t>签订合同以及与合同执行有关的一切事务，其法律后果由我方承担。</w:t>
      </w:r>
    </w:p>
    <w:p>
      <w:pPr>
        <w:spacing w:line="7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委托期限：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spacing w:line="7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代理人无转委托权。</w:t>
      </w:r>
    </w:p>
    <w:p>
      <w:pPr>
        <w:spacing w:line="7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附：委托代理人身份证复印件</w:t>
      </w:r>
    </w:p>
    <w:p>
      <w:pPr>
        <w:spacing w:line="700" w:lineRule="exact"/>
        <w:ind w:firstLine="1111" w:firstLineChars="397"/>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法定代表人身份证复印件</w:t>
      </w:r>
    </w:p>
    <w:p>
      <w:pPr>
        <w:spacing w:line="700" w:lineRule="exact"/>
        <w:ind w:firstLine="1116" w:firstLineChars="397"/>
        <w:rPr>
          <w:rFonts w:hint="eastAsia" w:ascii="宋体" w:hAnsi="宋体" w:cs="宋体"/>
          <w:b/>
          <w:color w:val="auto"/>
          <w:sz w:val="28"/>
          <w:szCs w:val="28"/>
          <w:highlight w:val="none"/>
        </w:rPr>
      </w:pPr>
    </w:p>
    <w:p>
      <w:pPr>
        <w:spacing w:line="700" w:lineRule="exact"/>
        <w:rPr>
          <w:rFonts w:hint="eastAsia" w:ascii="宋体" w:hAnsi="宋体" w:cs="宋体"/>
          <w:b/>
          <w:color w:val="auto"/>
          <w:sz w:val="28"/>
          <w:szCs w:val="28"/>
          <w:highlight w:val="none"/>
        </w:rPr>
      </w:pPr>
    </w:p>
    <w:p>
      <w:pPr>
        <w:spacing w:line="700" w:lineRule="exact"/>
        <w:ind w:firstLine="560" w:firstLineChars="200"/>
        <w:rPr>
          <w:rFonts w:hint="eastAsia" w:ascii="宋体" w:hAnsi="宋体" w:cs="宋体"/>
          <w:color w:val="auto"/>
          <w:sz w:val="28"/>
          <w:szCs w:val="28"/>
          <w:highlight w:val="none"/>
        </w:rPr>
      </w:pPr>
    </w:p>
    <w:p>
      <w:pPr>
        <w:spacing w:line="700" w:lineRule="exact"/>
        <w:ind w:firstLine="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盖章</w:t>
      </w:r>
      <w:r>
        <w:rPr>
          <w:rFonts w:hint="eastAsia" w:ascii="宋体" w:hAnsi="宋体" w:cs="宋体"/>
          <w:color w:val="auto"/>
          <w:sz w:val="28"/>
          <w:szCs w:val="28"/>
          <w:highlight w:val="none"/>
        </w:rPr>
        <w:t>）：</w:t>
      </w:r>
    </w:p>
    <w:p>
      <w:pPr>
        <w:spacing w:line="700" w:lineRule="exact"/>
        <w:ind w:firstLine="2660" w:firstLineChars="950"/>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法定代表人（身份证号码）：      （</w:t>
      </w:r>
      <w:r>
        <w:rPr>
          <w:rFonts w:hint="eastAsia" w:ascii="宋体" w:hAnsi="宋体" w:cs="宋体"/>
          <w:color w:val="auto"/>
          <w:sz w:val="28"/>
          <w:szCs w:val="28"/>
          <w:highlight w:val="none"/>
          <w:lang w:val="en-US" w:eastAsia="zh-CN"/>
        </w:rPr>
        <w:t>签字或盖章</w:t>
      </w:r>
      <w:r>
        <w:rPr>
          <w:rFonts w:hint="eastAsia" w:ascii="宋体" w:hAnsi="宋体" w:cs="宋体"/>
          <w:color w:val="auto"/>
          <w:sz w:val="28"/>
          <w:szCs w:val="28"/>
          <w:highlight w:val="none"/>
        </w:rPr>
        <w:t>）</w:t>
      </w:r>
    </w:p>
    <w:p>
      <w:pPr>
        <w:spacing w:line="700" w:lineRule="exact"/>
        <w:ind w:firstLine="2660" w:firstLineChars="95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委托代理人（身份证号码）：      </w:t>
      </w:r>
    </w:p>
    <w:p>
      <w:pPr>
        <w:spacing w:line="700" w:lineRule="exact"/>
        <w:ind w:firstLine="2660" w:firstLineChars="95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700" w:lineRule="exact"/>
        <w:ind w:firstLine="3290" w:firstLineChars="1175"/>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pPr>
        <w:spacing w:line="700" w:lineRule="exact"/>
        <w:ind w:firstLine="3290" w:firstLineChars="1175"/>
        <w:rPr>
          <w:rFonts w:hint="eastAsia" w:ascii="宋体" w:hAnsi="宋体" w:cs="宋体"/>
          <w:color w:val="auto"/>
          <w:sz w:val="28"/>
          <w:szCs w:val="28"/>
          <w:highlight w:val="none"/>
        </w:rPr>
      </w:pPr>
    </w:p>
    <w:p>
      <w:pPr>
        <w:spacing w:line="360" w:lineRule="auto"/>
        <w:jc w:val="center"/>
        <w:rPr>
          <w:rFonts w:hint="eastAsia" w:ascii="宋体" w:hAnsi="宋体" w:cs="宋体"/>
          <w:b/>
          <w:color w:val="auto"/>
          <w:sz w:val="28"/>
          <w:szCs w:val="28"/>
          <w:highlight w:val="none"/>
          <w:lang w:val="en-US" w:eastAsia="zh-CN"/>
        </w:rPr>
      </w:pPr>
      <w:bookmarkStart w:id="995" w:name="_Toc506107356"/>
      <w:bookmarkStart w:id="996" w:name="_Toc503196197"/>
      <w:bookmarkStart w:id="997" w:name="_Toc26598"/>
    </w:p>
    <w:p>
      <w:pPr>
        <w:spacing w:line="360" w:lineRule="auto"/>
        <w:jc w:val="center"/>
        <w:rPr>
          <w:rFonts w:hint="eastAsia" w:ascii="宋体" w:hAnsi="宋体" w:cs="宋体"/>
          <w:b/>
          <w:color w:val="auto"/>
          <w:sz w:val="28"/>
          <w:szCs w:val="28"/>
          <w:highlight w:val="none"/>
          <w:lang w:val="en-US" w:eastAsia="zh-CN"/>
        </w:rPr>
      </w:pP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企业诚信</w:t>
      </w:r>
      <w:r>
        <w:rPr>
          <w:rFonts w:hint="eastAsia" w:ascii="宋体" w:hAnsi="宋体" w:cs="宋体"/>
          <w:b/>
          <w:color w:val="auto"/>
          <w:sz w:val="28"/>
          <w:szCs w:val="28"/>
          <w:highlight w:val="none"/>
          <w:lang w:val="en-US" w:eastAsia="zh-CN"/>
        </w:rPr>
        <w:t>响应</w:t>
      </w:r>
      <w:r>
        <w:rPr>
          <w:rFonts w:hint="eastAsia" w:ascii="宋体" w:hAnsi="宋体" w:cs="宋体"/>
          <w:b/>
          <w:color w:val="auto"/>
          <w:sz w:val="28"/>
          <w:szCs w:val="28"/>
          <w:highlight w:val="none"/>
        </w:rPr>
        <w:t>承诺书</w:t>
      </w:r>
      <w:bookmarkEnd w:id="995"/>
      <w:bookmarkEnd w:id="996"/>
      <w:r>
        <w:rPr>
          <w:rFonts w:hint="eastAsia" w:ascii="宋体" w:hAnsi="宋体" w:cs="宋体"/>
          <w:b/>
          <w:color w:val="auto"/>
          <w:sz w:val="28"/>
          <w:szCs w:val="28"/>
          <w:highlight w:val="none"/>
        </w:rPr>
        <w:t> </w:t>
      </w:r>
      <w:bookmarkEnd w:id="997"/>
    </w:p>
    <w:p>
      <w:pPr>
        <w:spacing w:line="500" w:lineRule="exact"/>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w:t>
      </w:r>
      <w:r>
        <w:rPr>
          <w:rFonts w:hint="eastAsia" w:ascii="宋体" w:hAnsi="宋体"/>
          <w:color w:val="auto"/>
          <w:szCs w:val="21"/>
          <w:highlight w:val="none"/>
          <w:lang w:val="en-US" w:eastAsia="zh-CN"/>
        </w:rPr>
        <w:t>谈判</w:t>
      </w:r>
      <w:r>
        <w:rPr>
          <w:rFonts w:hint="eastAsia" w:ascii="宋体" w:hAnsi="宋体"/>
          <w:color w:val="auto"/>
          <w:szCs w:val="21"/>
          <w:highlight w:val="none"/>
        </w:rPr>
        <w:t>，所提供的一切材料都是真实、有效、合法的；</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w:t>
      </w:r>
      <w:r>
        <w:rPr>
          <w:rFonts w:hint="eastAsia" w:ascii="宋体" w:hAnsi="宋体"/>
          <w:color w:val="auto"/>
          <w:szCs w:val="21"/>
          <w:highlight w:val="none"/>
          <w:lang w:val="en-US" w:eastAsia="zh-CN"/>
        </w:rPr>
        <w:t>供应商</w:t>
      </w:r>
      <w:r>
        <w:rPr>
          <w:rFonts w:hint="eastAsia" w:ascii="宋体" w:hAnsi="宋体"/>
          <w:color w:val="auto"/>
          <w:szCs w:val="21"/>
          <w:highlight w:val="none"/>
        </w:rPr>
        <w:t>相互串通</w:t>
      </w:r>
      <w:r>
        <w:rPr>
          <w:rFonts w:hint="eastAsia" w:ascii="宋体" w:hAnsi="宋体"/>
          <w:color w:val="auto"/>
          <w:szCs w:val="21"/>
          <w:highlight w:val="none"/>
          <w:lang w:val="en-US" w:eastAsia="zh-CN"/>
        </w:rPr>
        <w:t>响应</w:t>
      </w:r>
      <w:r>
        <w:rPr>
          <w:rFonts w:hint="eastAsia" w:ascii="宋体" w:hAnsi="宋体"/>
          <w:color w:val="auto"/>
          <w:szCs w:val="21"/>
          <w:highlight w:val="none"/>
        </w:rPr>
        <w:t>报价，不排挤其他</w:t>
      </w:r>
      <w:r>
        <w:rPr>
          <w:rFonts w:hint="eastAsia" w:ascii="宋体" w:hAnsi="宋体"/>
          <w:color w:val="auto"/>
          <w:szCs w:val="21"/>
          <w:highlight w:val="none"/>
          <w:lang w:val="en-US" w:eastAsia="zh-CN"/>
        </w:rPr>
        <w:t>供应商</w:t>
      </w:r>
      <w:r>
        <w:rPr>
          <w:rFonts w:hint="eastAsia" w:ascii="宋体" w:hAnsi="宋体"/>
          <w:color w:val="auto"/>
          <w:szCs w:val="21"/>
          <w:highlight w:val="none"/>
        </w:rPr>
        <w:t>的公平竞争、损害</w:t>
      </w:r>
      <w:r>
        <w:rPr>
          <w:rFonts w:hint="eastAsia" w:ascii="宋体" w:hAnsi="宋体"/>
          <w:color w:val="auto"/>
          <w:szCs w:val="21"/>
          <w:highlight w:val="none"/>
          <w:lang w:val="en-US" w:eastAsia="zh-CN"/>
        </w:rPr>
        <w:t>采购</w:t>
      </w:r>
      <w:r>
        <w:rPr>
          <w:rFonts w:hint="eastAsia" w:ascii="宋体" w:hAnsi="宋体"/>
          <w:color w:val="auto"/>
          <w:szCs w:val="21"/>
          <w:highlight w:val="none"/>
        </w:rPr>
        <w:t>人的合法权益；</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val="en-US" w:eastAsia="zh-CN"/>
        </w:rPr>
        <w:t>采购</w:t>
      </w:r>
      <w:r>
        <w:rPr>
          <w:rFonts w:hint="eastAsia" w:ascii="宋体" w:hAnsi="宋体"/>
          <w:color w:val="auto"/>
          <w:szCs w:val="21"/>
          <w:highlight w:val="none"/>
        </w:rPr>
        <w:t>人、招标代理机构或其他</w:t>
      </w:r>
      <w:r>
        <w:rPr>
          <w:rFonts w:hint="eastAsia" w:ascii="宋体" w:hAnsi="宋体"/>
          <w:color w:val="auto"/>
          <w:szCs w:val="21"/>
          <w:highlight w:val="none"/>
          <w:lang w:val="en-US" w:eastAsia="zh-CN"/>
        </w:rPr>
        <w:t>供应商</w:t>
      </w:r>
      <w:r>
        <w:rPr>
          <w:rFonts w:hint="eastAsia" w:ascii="宋体" w:hAnsi="宋体"/>
          <w:color w:val="auto"/>
          <w:szCs w:val="21"/>
          <w:highlight w:val="none"/>
        </w:rPr>
        <w:t>串通</w:t>
      </w:r>
      <w:r>
        <w:rPr>
          <w:rFonts w:hint="eastAsia" w:ascii="宋体" w:hAnsi="宋体"/>
          <w:color w:val="auto"/>
          <w:szCs w:val="21"/>
          <w:highlight w:val="none"/>
          <w:lang w:val="en-US" w:eastAsia="zh-CN"/>
        </w:rPr>
        <w:t>响应</w:t>
      </w:r>
      <w:r>
        <w:rPr>
          <w:rFonts w:hint="eastAsia" w:ascii="宋体" w:hAnsi="宋体"/>
          <w:color w:val="auto"/>
          <w:szCs w:val="21"/>
          <w:highlight w:val="none"/>
        </w:rPr>
        <w:t>，损害国家利益、社会公共利益或者他人的合法权益；</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3年在经营活动中有重大违法记录的。</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八、保证</w:t>
      </w:r>
      <w:r>
        <w:rPr>
          <w:rFonts w:hint="eastAsia" w:ascii="宋体" w:hAnsi="宋体"/>
          <w:color w:val="auto"/>
          <w:szCs w:val="21"/>
          <w:highlight w:val="none"/>
          <w:lang w:val="en-US" w:eastAsia="zh-CN"/>
        </w:rPr>
        <w:t>成交</w:t>
      </w:r>
      <w:r>
        <w:rPr>
          <w:rFonts w:hint="eastAsia" w:ascii="宋体" w:hAnsi="宋体"/>
          <w:color w:val="auto"/>
          <w:szCs w:val="21"/>
          <w:highlight w:val="none"/>
        </w:rPr>
        <w:t>后不转包，若有分包征得</w:t>
      </w:r>
      <w:r>
        <w:rPr>
          <w:rFonts w:hint="eastAsia" w:ascii="宋体" w:hAnsi="宋体"/>
          <w:color w:val="auto"/>
          <w:szCs w:val="21"/>
          <w:highlight w:val="none"/>
          <w:lang w:val="en-US" w:eastAsia="zh-CN"/>
        </w:rPr>
        <w:t>采购</w:t>
      </w:r>
      <w:r>
        <w:rPr>
          <w:rFonts w:hint="eastAsia" w:ascii="宋体" w:hAnsi="宋体"/>
          <w:color w:val="auto"/>
          <w:szCs w:val="21"/>
          <w:highlight w:val="none"/>
        </w:rPr>
        <w:t>人同意；</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w:t>
      </w:r>
      <w:r>
        <w:rPr>
          <w:rFonts w:hint="eastAsia" w:ascii="宋体" w:hAnsi="宋体"/>
          <w:color w:val="auto"/>
          <w:szCs w:val="21"/>
          <w:highlight w:val="none"/>
          <w:lang w:val="en-US" w:eastAsia="zh-CN"/>
        </w:rPr>
        <w:t>成交</w:t>
      </w:r>
      <w:r>
        <w:rPr>
          <w:rFonts w:hint="eastAsia" w:ascii="宋体" w:hAnsi="宋体"/>
          <w:color w:val="auto"/>
          <w:szCs w:val="21"/>
          <w:highlight w:val="none"/>
        </w:rPr>
        <w:t>之后，按照</w:t>
      </w:r>
      <w:r>
        <w:rPr>
          <w:rFonts w:hint="eastAsia" w:ascii="宋体" w:hAnsi="宋体"/>
          <w:color w:val="auto"/>
          <w:szCs w:val="21"/>
          <w:highlight w:val="none"/>
          <w:lang w:val="en-US" w:eastAsia="zh-CN"/>
        </w:rPr>
        <w:t>响应</w:t>
      </w:r>
      <w:r>
        <w:rPr>
          <w:rFonts w:hint="eastAsia" w:ascii="宋体" w:hAnsi="宋体"/>
          <w:color w:val="auto"/>
          <w:szCs w:val="21"/>
          <w:highlight w:val="none"/>
        </w:rPr>
        <w:t>文件要求提供相关后续服务；</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十、保证企业及所属相关人员在本次</w:t>
      </w:r>
      <w:r>
        <w:rPr>
          <w:rFonts w:hint="eastAsia" w:ascii="宋体" w:hAnsi="宋体"/>
          <w:color w:val="auto"/>
          <w:szCs w:val="21"/>
          <w:highlight w:val="none"/>
          <w:lang w:val="en-US" w:eastAsia="zh-CN"/>
        </w:rPr>
        <w:t>响应</w:t>
      </w:r>
      <w:r>
        <w:rPr>
          <w:rFonts w:hint="eastAsia" w:ascii="宋体" w:hAnsi="宋体"/>
          <w:color w:val="auto"/>
          <w:szCs w:val="21"/>
          <w:highlight w:val="none"/>
        </w:rPr>
        <w:t>中无行贿等犯罪行为；</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十一、如在</w:t>
      </w:r>
      <w:r>
        <w:rPr>
          <w:rFonts w:hint="eastAsia" w:ascii="宋体" w:hAnsi="宋体"/>
          <w:color w:val="auto"/>
          <w:szCs w:val="21"/>
          <w:highlight w:val="none"/>
          <w:lang w:val="en-US" w:eastAsia="zh-CN"/>
        </w:rPr>
        <w:t>谈判</w:t>
      </w:r>
      <w:r>
        <w:rPr>
          <w:rFonts w:hint="eastAsia" w:ascii="宋体" w:hAnsi="宋体"/>
          <w:color w:val="auto"/>
          <w:szCs w:val="21"/>
          <w:highlight w:val="none"/>
        </w:rPr>
        <w:t>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w:t>
      </w:r>
      <w:r>
        <w:rPr>
          <w:rFonts w:hint="eastAsia" w:ascii="宋体" w:hAnsi="宋体"/>
          <w:color w:val="auto"/>
          <w:szCs w:val="21"/>
          <w:highlight w:val="none"/>
          <w:lang w:val="en-US" w:eastAsia="zh-CN"/>
        </w:rPr>
        <w:t>成交</w:t>
      </w:r>
      <w:r>
        <w:rPr>
          <w:rFonts w:hint="eastAsia" w:ascii="宋体" w:hAnsi="宋体"/>
          <w:color w:val="auto"/>
          <w:szCs w:val="21"/>
          <w:highlight w:val="none"/>
        </w:rPr>
        <w:t>资格、记入不良行为记录等有关处理，愿意承担法律责任，给</w:t>
      </w:r>
      <w:r>
        <w:rPr>
          <w:rFonts w:hint="eastAsia" w:ascii="宋体" w:hAnsi="宋体"/>
          <w:color w:val="auto"/>
          <w:szCs w:val="21"/>
          <w:highlight w:val="none"/>
          <w:lang w:val="en-US" w:eastAsia="zh-CN"/>
        </w:rPr>
        <w:t>采购</w:t>
      </w:r>
      <w:r>
        <w:rPr>
          <w:rFonts w:hint="eastAsia" w:ascii="宋体" w:hAnsi="宋体"/>
          <w:color w:val="auto"/>
          <w:szCs w:val="21"/>
          <w:highlight w:val="none"/>
        </w:rPr>
        <w:t>人造成损失的，依法承担赔偿责任。</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（盖章）：          法定代表人（签字或</w:t>
      </w:r>
      <w:r>
        <w:rPr>
          <w:rFonts w:hint="eastAsia" w:ascii="宋体" w:hAnsi="宋体"/>
          <w:color w:val="auto"/>
          <w:szCs w:val="21"/>
          <w:highlight w:val="none"/>
          <w:lang w:val="en-US" w:eastAsia="zh-CN"/>
        </w:rPr>
        <w:t>盖章</w:t>
      </w:r>
      <w:r>
        <w:rPr>
          <w:rFonts w:hint="eastAsia" w:ascii="宋体" w:hAnsi="宋体"/>
          <w:color w:val="auto"/>
          <w:szCs w:val="21"/>
          <w:highlight w:val="none"/>
        </w:rPr>
        <w:t>）：</w:t>
      </w:r>
    </w:p>
    <w:p>
      <w:pPr>
        <w:spacing w:line="500" w:lineRule="exact"/>
        <w:ind w:firstLine="420" w:firstLineChars="200"/>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pStyle w:val="7"/>
        <w:rPr>
          <w:rFonts w:hint="eastAsia"/>
          <w:color w:val="auto"/>
          <w:highlight w:val="none"/>
          <w:lang w:val="en-US" w:eastAsia="zh-CN"/>
        </w:rPr>
      </w:pPr>
    </w:p>
    <w:p>
      <w:pPr>
        <w:rPr>
          <w:rFonts w:hint="eastAsia"/>
          <w:color w:val="auto"/>
          <w:highlight w:val="none"/>
          <w:lang w:val="en-US" w:eastAsia="zh-CN"/>
        </w:rPr>
      </w:pPr>
    </w:p>
    <w:p>
      <w:pPr>
        <w:pStyle w:val="7"/>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rPr>
      </w:pPr>
    </w:p>
    <w:p>
      <w:pPr>
        <w:pStyle w:val="7"/>
        <w:rPr>
          <w:rFonts w:hint="eastAsia"/>
          <w:color w:val="auto"/>
          <w:highlight w:val="none"/>
          <w:lang w:val="en-US" w:eastAsia="zh-CN"/>
        </w:rPr>
      </w:pPr>
    </w:p>
    <w:p>
      <w:pPr>
        <w:rPr>
          <w:rFonts w:hint="eastAsia"/>
          <w:color w:val="auto"/>
          <w:highlight w:val="none"/>
        </w:rPr>
      </w:pPr>
    </w:p>
    <w:p>
      <w:pPr>
        <w:pStyle w:val="7"/>
        <w:rPr>
          <w:rFonts w:hint="eastAsia"/>
          <w:color w:val="auto"/>
          <w:highlight w:val="none"/>
          <w:lang w:val="en-US" w:eastAsia="zh-CN"/>
        </w:rPr>
      </w:pPr>
    </w:p>
    <w:p>
      <w:pPr>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7"/>
        <w:jc w:val="right"/>
        <w:rPr>
          <w:rFonts w:hint="eastAsia"/>
          <w:color w:val="auto"/>
          <w:highlight w:val="none"/>
          <w:lang w:val="en-US" w:eastAsia="zh-CN"/>
        </w:rPr>
      </w:pPr>
      <w:r>
        <w:rPr>
          <w:rFonts w:hint="eastAsia"/>
          <w:color w:val="auto"/>
          <w:highlight w:val="none"/>
          <w:lang w:val="en-US" w:eastAsia="zh-CN"/>
        </w:rPr>
        <w:t>正本或副本</w:t>
      </w:r>
    </w:p>
    <w:p>
      <w:pPr>
        <w:rPr>
          <w:rFonts w:hint="eastAsia"/>
          <w:color w:val="auto"/>
          <w:highlight w:val="none"/>
        </w:rPr>
      </w:pPr>
    </w:p>
    <w:p>
      <w:pPr>
        <w:rPr>
          <w:rFonts w:hint="eastAsia" w:ascii="宋体" w:hAnsi="宋体" w:cs="宋体"/>
          <w:color w:val="auto"/>
          <w:highlight w:val="none"/>
        </w:rPr>
      </w:pPr>
    </w:p>
    <w:p>
      <w:pPr>
        <w:jc w:val="center"/>
        <w:rPr>
          <w:rFonts w:hint="eastAsia"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p>
    <w:p>
      <w:pPr>
        <w:jc w:val="cente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投  标  文  件  </w:t>
      </w:r>
      <w:r>
        <w:rPr>
          <w:rFonts w:hint="eastAsia" w:ascii="宋体" w:hAnsi="宋体" w:cs="宋体"/>
          <w:color w:val="auto"/>
          <w:sz w:val="44"/>
          <w:szCs w:val="44"/>
          <w:highlight w:val="none"/>
          <w:lang w:val="en-US" w:eastAsia="zh-CN"/>
        </w:rPr>
        <w:t>二</w:t>
      </w:r>
      <w:r>
        <w:rPr>
          <w:rFonts w:hint="eastAsia" w:ascii="宋体" w:hAnsi="宋体" w:cs="宋体"/>
          <w:color w:val="auto"/>
          <w:sz w:val="44"/>
          <w:szCs w:val="44"/>
          <w:highlight w:val="none"/>
        </w:rPr>
        <w:t xml:space="preserve"> </w:t>
      </w:r>
    </w:p>
    <w:p>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（商务文件）</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
        <w:rPr>
          <w:rFonts w:hint="eastAsia"/>
          <w:color w:val="auto"/>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盖章</w:t>
      </w:r>
      <w:r>
        <w:rPr>
          <w:rFonts w:hint="eastAsia" w:ascii="宋体" w:hAnsi="宋体" w:cs="宋体"/>
          <w:color w:val="auto"/>
          <w:sz w:val="28"/>
          <w:szCs w:val="28"/>
          <w:highlight w:val="none"/>
        </w:rPr>
        <w:t>）</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签字或盖章</w:t>
      </w:r>
      <w:r>
        <w:rPr>
          <w:rFonts w:hint="eastAsia" w:ascii="宋体" w:hAnsi="宋体" w:cs="宋体"/>
          <w:color w:val="auto"/>
          <w:sz w:val="28"/>
          <w:szCs w:val="28"/>
          <w:highlight w:val="none"/>
        </w:rPr>
        <w:t>）</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360" w:lineRule="auto"/>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响应文件二：商务</w:t>
      </w:r>
      <w:r>
        <w:rPr>
          <w:rFonts w:hint="eastAsia" w:ascii="宋体" w:hAnsi="宋体" w:cs="宋体"/>
          <w:b/>
          <w:color w:val="auto"/>
          <w:sz w:val="28"/>
          <w:szCs w:val="28"/>
          <w:highlight w:val="none"/>
          <w:lang w:val="en-US" w:eastAsia="zh-CN"/>
        </w:rPr>
        <w:t>文件</w:t>
      </w:r>
      <w:r>
        <w:rPr>
          <w:rFonts w:hint="eastAsia" w:ascii="宋体" w:hAnsi="宋体" w:cs="宋体"/>
          <w:b/>
          <w:color w:val="auto"/>
          <w:sz w:val="28"/>
          <w:szCs w:val="28"/>
          <w:highlight w:val="none"/>
        </w:rPr>
        <w:t>目录</w:t>
      </w:r>
    </w:p>
    <w:p>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（1）开标一览表</w:t>
      </w:r>
    </w:p>
    <w:p>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响应函</w:t>
      </w:r>
      <w:r>
        <w:rPr>
          <w:rFonts w:hint="eastAsia" w:ascii="宋体" w:hAnsi="宋体" w:cs="宋体"/>
          <w:color w:val="auto"/>
          <w:szCs w:val="21"/>
          <w:highlight w:val="none"/>
        </w:rPr>
        <w:t>；</w:t>
      </w:r>
    </w:p>
    <w:p>
      <w:pPr>
        <w:spacing w:line="440" w:lineRule="atLeas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）分项报价清单（格式见附件）</w:t>
      </w:r>
      <w:r>
        <w:rPr>
          <w:rFonts w:hint="eastAsia" w:ascii="宋体" w:hAnsi="宋体" w:cs="宋体"/>
          <w:color w:val="auto"/>
          <w:szCs w:val="21"/>
          <w:highlight w:val="none"/>
          <w:lang w:eastAsia="zh-CN"/>
        </w:rPr>
        <w:t>；</w:t>
      </w:r>
    </w:p>
    <w:p>
      <w:pPr>
        <w:spacing w:line="440" w:lineRule="atLeas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）技术参数响应表（格式见附件）；</w:t>
      </w:r>
    </w:p>
    <w:p>
      <w:pPr>
        <w:spacing w:line="440" w:lineRule="atLeas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）服务承诺函（格式见附件）；</w:t>
      </w:r>
    </w:p>
    <w:p>
      <w:pPr>
        <w:spacing w:line="440" w:lineRule="atLeas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）技术要求需要的相关检测报告等证明材料；</w:t>
      </w:r>
    </w:p>
    <w:p>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供应商认为需要提供的其他材料（如有）</w:t>
      </w:r>
      <w:r>
        <w:rPr>
          <w:rFonts w:hint="eastAsia" w:ascii="宋体" w:hAnsi="宋体" w:cs="宋体"/>
          <w:color w:val="auto"/>
          <w:szCs w:val="21"/>
          <w:highlight w:val="none"/>
        </w:rPr>
        <w:t>。</w:t>
      </w:r>
    </w:p>
    <w:p>
      <w:pPr>
        <w:pStyle w:val="2"/>
        <w:ind w:firstLine="420"/>
        <w:rPr>
          <w:rFonts w:hint="eastAsia" w:hAnsi="宋体" w:cs="宋体"/>
          <w:color w:val="auto"/>
          <w:szCs w:val="21"/>
          <w:highlight w:val="none"/>
        </w:rPr>
      </w:pPr>
    </w:p>
    <w:p>
      <w:pPr>
        <w:spacing w:line="4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spacing w:line="540" w:lineRule="exact"/>
        <w:rPr>
          <w:rFonts w:hint="eastAsia" w:ascii="宋体" w:hAnsi="宋体" w:cs="宋体"/>
          <w:color w:val="auto"/>
          <w:highlight w:val="none"/>
        </w:rPr>
      </w:pPr>
    </w:p>
    <w:p>
      <w:pPr>
        <w:pStyle w:val="16"/>
        <w:ind w:left="0" w:leftChars="0" w:firstLine="0" w:firstLineChars="0"/>
        <w:rPr>
          <w:rFonts w:hint="eastAsia"/>
          <w:color w:val="auto"/>
          <w:highlight w:val="none"/>
        </w:rPr>
      </w:pPr>
    </w:p>
    <w:p>
      <w:pPr>
        <w:keepNext w:val="0"/>
        <w:keepLines w:val="0"/>
        <w:pageBreakBefore/>
        <w:widowControl w:val="0"/>
        <w:kinsoku/>
        <w:wordWrap/>
        <w:overflowPunct/>
        <w:topLinePunct w:val="0"/>
        <w:autoSpaceDE/>
        <w:autoSpaceDN/>
        <w:bidi w:val="0"/>
        <w:adjustRightInd/>
        <w:snapToGrid/>
        <w:spacing w:before="120" w:beforeLines="50" w:after="120" w:afterLines="50"/>
        <w:jc w:val="center"/>
        <w:textAlignment w:val="auto"/>
        <w:rPr>
          <w:rFonts w:hint="eastAsia" w:ascii="宋体" w:hAnsi="宋体" w:cs="宋体"/>
          <w:b/>
          <w:color w:val="auto"/>
          <w:sz w:val="30"/>
          <w:szCs w:val="30"/>
          <w:highlight w:val="none"/>
        </w:rPr>
      </w:pPr>
      <w:r>
        <w:rPr>
          <w:rFonts w:hint="eastAsia" w:ascii="宋体" w:hAnsi="宋体" w:cs="宋体"/>
          <w:b/>
          <w:color w:val="auto"/>
          <w:sz w:val="32"/>
          <w:szCs w:val="32"/>
          <w:highlight w:val="none"/>
        </w:rPr>
        <w:t>（1）</w:t>
      </w:r>
      <w:r>
        <w:rPr>
          <w:rFonts w:hint="eastAsia" w:ascii="宋体" w:hAnsi="宋体" w:cs="宋体"/>
          <w:b/>
          <w:color w:val="auto"/>
          <w:sz w:val="30"/>
          <w:szCs w:val="30"/>
          <w:highlight w:val="none"/>
          <w:lang w:val="en-US" w:eastAsia="zh-CN"/>
        </w:rPr>
        <w:t>开标一览表</w:t>
      </w:r>
    </w:p>
    <w:tbl>
      <w:tblPr>
        <w:tblStyle w:val="23"/>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exact"/>
          <w:jc w:val="center"/>
        </w:trPr>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color w:val="auto"/>
                <w:sz w:val="24"/>
                <w:szCs w:val="24"/>
                <w:highlight w:val="none"/>
              </w:rPr>
            </w:pPr>
            <w:r>
              <w:rPr>
                <w:rFonts w:hint="eastAsia" w:ascii="宋体"/>
                <w:color w:val="auto"/>
                <w:sz w:val="24"/>
                <w:szCs w:val="24"/>
                <w:highlight w:val="none"/>
              </w:rPr>
              <w:t>项目名称</w:t>
            </w:r>
          </w:p>
        </w:tc>
        <w:tc>
          <w:tcPr>
            <w:tcW w:w="71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exact"/>
          <w:jc w:val="center"/>
        </w:trPr>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color w:val="auto"/>
                <w:sz w:val="24"/>
                <w:szCs w:val="24"/>
                <w:highlight w:val="none"/>
              </w:rPr>
            </w:pPr>
            <w:r>
              <w:rPr>
                <w:rFonts w:hint="eastAsia" w:ascii="宋体"/>
                <w:color w:val="auto"/>
                <w:sz w:val="24"/>
                <w:szCs w:val="24"/>
                <w:highlight w:val="none"/>
                <w:lang w:val="en-US" w:eastAsia="zh-CN"/>
              </w:rPr>
              <w:t>供应商</w:t>
            </w:r>
            <w:r>
              <w:rPr>
                <w:rFonts w:hint="eastAsia" w:ascii="宋体"/>
                <w:color w:val="auto"/>
                <w:sz w:val="24"/>
                <w:szCs w:val="24"/>
                <w:highlight w:val="none"/>
              </w:rPr>
              <w:t>名称</w:t>
            </w:r>
          </w:p>
        </w:tc>
        <w:tc>
          <w:tcPr>
            <w:tcW w:w="717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600" w:lineRule="exact"/>
              <w:ind w:left="86" w:leftChars="41"/>
              <w:textAlignment w:val="auto"/>
              <w:rPr>
                <w:rFonts w:hint="eastAsia" w:ascii="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2" w:hRule="exact"/>
          <w:jc w:val="center"/>
        </w:trPr>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color w:val="auto"/>
                <w:sz w:val="24"/>
                <w:szCs w:val="24"/>
                <w:highlight w:val="none"/>
              </w:rPr>
            </w:pPr>
            <w:r>
              <w:rPr>
                <w:rFonts w:hint="eastAsia" w:ascii="宋体"/>
                <w:color w:val="auto"/>
                <w:sz w:val="24"/>
                <w:szCs w:val="24"/>
                <w:highlight w:val="none"/>
              </w:rPr>
              <w:t>总</w:t>
            </w:r>
            <w:r>
              <w:rPr>
                <w:rFonts w:hint="eastAsia" w:ascii="宋体"/>
                <w:color w:val="auto"/>
                <w:sz w:val="24"/>
                <w:szCs w:val="24"/>
                <w:highlight w:val="none"/>
                <w:lang w:val="en-US" w:eastAsia="zh-CN"/>
              </w:rPr>
              <w:t>报</w:t>
            </w:r>
            <w:r>
              <w:rPr>
                <w:rFonts w:hint="eastAsia" w:ascii="宋体"/>
                <w:color w:val="auto"/>
                <w:sz w:val="24"/>
                <w:szCs w:val="24"/>
                <w:highlight w:val="none"/>
              </w:rPr>
              <w:t>价\</w:t>
            </w:r>
            <w:r>
              <w:rPr>
                <w:rFonts w:hint="eastAsia" w:ascii="宋体"/>
                <w:color w:val="auto"/>
                <w:sz w:val="24"/>
                <w:szCs w:val="24"/>
                <w:highlight w:val="none"/>
                <w:lang w:val="en-US" w:eastAsia="zh-CN"/>
              </w:rPr>
              <w:t>工期</w:t>
            </w:r>
          </w:p>
        </w:tc>
        <w:tc>
          <w:tcPr>
            <w:tcW w:w="71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color w:val="auto"/>
                <w:sz w:val="24"/>
                <w:szCs w:val="24"/>
                <w:highlight w:val="none"/>
              </w:rPr>
            </w:pPr>
            <w:r>
              <w:rPr>
                <w:rFonts w:hint="eastAsia" w:ascii="宋体"/>
                <w:color w:val="auto"/>
                <w:sz w:val="24"/>
                <w:szCs w:val="24"/>
                <w:highlight w:val="none"/>
              </w:rPr>
              <w:t>总</w:t>
            </w:r>
            <w:r>
              <w:rPr>
                <w:rFonts w:hint="eastAsia" w:ascii="宋体"/>
                <w:color w:val="auto"/>
                <w:sz w:val="24"/>
                <w:szCs w:val="24"/>
                <w:highlight w:val="none"/>
                <w:lang w:val="en-US" w:eastAsia="zh-CN"/>
              </w:rPr>
              <w:t>报</w:t>
            </w:r>
            <w:r>
              <w:rPr>
                <w:rFonts w:hint="eastAsia" w:ascii="宋体"/>
                <w:color w:val="auto"/>
                <w:sz w:val="24"/>
                <w:szCs w:val="24"/>
                <w:highlight w:val="none"/>
              </w:rPr>
              <w:t>价 （大写）：</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080" w:firstLineChars="450"/>
              <w:textAlignment w:val="auto"/>
              <w:rPr>
                <w:rFonts w:hint="eastAsia" w:ascii="宋体"/>
                <w:color w:val="auto"/>
                <w:sz w:val="24"/>
                <w:szCs w:val="24"/>
                <w:highlight w:val="none"/>
              </w:rPr>
            </w:pPr>
            <w:r>
              <w:rPr>
                <w:rFonts w:hint="eastAsia" w:ascii="宋体"/>
                <w:color w:val="auto"/>
                <w:sz w:val="24"/>
                <w:szCs w:val="24"/>
                <w:highlight w:val="none"/>
              </w:rPr>
              <w:t>(小写) ：</w:t>
            </w:r>
            <w:r>
              <w:rPr>
                <w:rFonts w:hint="eastAsia" w:ascii="宋体"/>
                <w:color w:val="auto"/>
                <w:sz w:val="24"/>
                <w:szCs w:val="24"/>
                <w:highlight w:val="none"/>
                <w:u w:val="single"/>
              </w:rPr>
              <w:t xml:space="preserve">                    </w:t>
            </w:r>
            <w:r>
              <w:rPr>
                <w:rFonts w:hint="eastAsia" w:ascii="宋体"/>
                <w:color w:val="auto"/>
                <w:sz w:val="24"/>
                <w:szCs w:val="24"/>
                <w:highlight w:val="none"/>
              </w:rPr>
              <w:t>元</w:t>
            </w:r>
          </w:p>
          <w:p>
            <w:pPr>
              <w:spacing w:line="440" w:lineRule="exact"/>
              <w:ind w:firstLine="480" w:firstLineChars="200"/>
              <w:rPr>
                <w:rFonts w:hint="eastAsia" w:ascii="宋体" w:hAnsi="宋体" w:cs="宋体"/>
                <w:color w:val="auto"/>
                <w:sz w:val="24"/>
                <w:szCs w:val="24"/>
                <w:highlight w:val="none"/>
                <w:lang w:val="en-US" w:eastAsia="zh-CN"/>
              </w:rPr>
            </w:pPr>
          </w:p>
          <w:p>
            <w:pPr>
              <w:spacing w:line="440" w:lineRule="exact"/>
              <w:ind w:firstLine="480" w:firstLineChars="200"/>
              <w:rPr>
                <w:rFonts w:hint="eastAsia"/>
                <w:color w:val="auto"/>
                <w:sz w:val="24"/>
                <w:szCs w:val="24"/>
                <w:highlight w:val="none"/>
              </w:rPr>
            </w:pP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自合同签订之日起30个日历天内完成所有货物的供货、安装、验收工作。</w:t>
            </w:r>
          </w:p>
        </w:tc>
      </w:tr>
    </w:tbl>
    <w:p>
      <w:pPr>
        <w:snapToGrid w:val="0"/>
        <w:spacing w:line="460" w:lineRule="exact"/>
        <w:ind w:left="2940" w:leftChars="1400" w:firstLine="723" w:firstLineChars="300"/>
        <w:rPr>
          <w:rFonts w:hint="eastAsia" w:ascii="宋体"/>
          <w:b/>
          <w:color w:val="auto"/>
          <w:sz w:val="24"/>
          <w:highlight w:val="none"/>
        </w:rPr>
      </w:pPr>
    </w:p>
    <w:p>
      <w:pPr>
        <w:rPr>
          <w:rFonts w:hint="eastAsia" w:ascii="宋体"/>
          <w:color w:val="auto"/>
          <w:sz w:val="24"/>
          <w:highlight w:val="none"/>
        </w:rPr>
      </w:pPr>
      <w:r>
        <w:rPr>
          <w:rFonts w:hint="eastAsia" w:ascii="宋体"/>
          <w:color w:val="auto"/>
          <w:sz w:val="24"/>
          <w:highlight w:val="none"/>
        </w:rPr>
        <w:t>法定代表人（</w:t>
      </w:r>
      <w:r>
        <w:rPr>
          <w:rFonts w:hint="eastAsia" w:ascii="宋体"/>
          <w:color w:val="auto"/>
          <w:sz w:val="24"/>
          <w:highlight w:val="none"/>
          <w:lang w:val="en-US" w:eastAsia="zh-CN"/>
        </w:rPr>
        <w:t>签字或盖章</w:t>
      </w:r>
      <w:r>
        <w:rPr>
          <w:rFonts w:hint="eastAsia" w:ascii="宋体"/>
          <w:color w:val="auto"/>
          <w:sz w:val="24"/>
          <w:highlight w:val="none"/>
        </w:rPr>
        <w:t xml:space="preserve">）：                           </w:t>
      </w:r>
      <w:r>
        <w:rPr>
          <w:rFonts w:hint="eastAsia" w:ascii="宋体"/>
          <w:color w:val="auto"/>
          <w:sz w:val="24"/>
          <w:highlight w:val="none"/>
          <w:lang w:val="en-US" w:eastAsia="zh-CN"/>
        </w:rPr>
        <w:t>供应商</w:t>
      </w:r>
      <w:r>
        <w:rPr>
          <w:rFonts w:hint="eastAsia" w:ascii="宋体"/>
          <w:color w:val="auto"/>
          <w:sz w:val="24"/>
          <w:highlight w:val="none"/>
        </w:rPr>
        <w:t>（</w:t>
      </w:r>
      <w:r>
        <w:rPr>
          <w:rFonts w:hint="eastAsia" w:ascii="宋体"/>
          <w:color w:val="auto"/>
          <w:sz w:val="24"/>
          <w:highlight w:val="none"/>
          <w:lang w:val="en-US" w:eastAsia="zh-CN"/>
        </w:rPr>
        <w:t>盖章</w:t>
      </w:r>
      <w:r>
        <w:rPr>
          <w:rFonts w:hint="eastAsia" w:ascii="宋体"/>
          <w:color w:val="auto"/>
          <w:sz w:val="24"/>
          <w:highlight w:val="none"/>
        </w:rPr>
        <w:t>）：</w:t>
      </w:r>
    </w:p>
    <w:p>
      <w:pPr>
        <w:snapToGrid w:val="0"/>
        <w:spacing w:before="240" w:beforeLines="100" w:after="240" w:afterLines="100" w:line="360" w:lineRule="auto"/>
        <w:jc w:val="center"/>
        <w:rPr>
          <w:rFonts w:hint="eastAsia" w:ascii="宋体" w:hAnsi="宋体" w:cs="宋体"/>
          <w:b/>
          <w:color w:val="auto"/>
          <w:sz w:val="30"/>
          <w:szCs w:val="30"/>
          <w:highlight w:val="none"/>
          <w:lang w:val="en-US" w:eastAsia="zh-CN"/>
        </w:rPr>
      </w:pPr>
      <w:r>
        <w:rPr>
          <w:rFonts w:hint="eastAsia" w:ascii="宋体"/>
          <w:color w:val="auto"/>
          <w:sz w:val="24"/>
          <w:highlight w:val="none"/>
        </w:rPr>
        <w:t xml:space="preserve">                                      日  期：    年  月  日 </w:t>
      </w:r>
    </w:p>
    <w:p>
      <w:pPr>
        <w:pStyle w:val="38"/>
        <w:ind w:left="0" w:leftChars="0" w:firstLine="0" w:firstLineChars="0"/>
        <w:rPr>
          <w:rFonts w:hint="eastAsia" w:ascii="宋体" w:hAnsi="宋体" w:cs="宋体"/>
          <w:b/>
          <w:color w:val="auto"/>
          <w:sz w:val="32"/>
          <w:szCs w:val="32"/>
          <w:highlight w:val="none"/>
        </w:rPr>
      </w:pPr>
    </w:p>
    <w:p>
      <w:pPr>
        <w:pStyle w:val="38"/>
        <w:rPr>
          <w:rFonts w:hint="eastAsia" w:ascii="宋体" w:hAnsi="宋体" w:cs="宋体"/>
          <w:b/>
          <w:color w:val="auto"/>
          <w:sz w:val="32"/>
          <w:szCs w:val="32"/>
          <w:highlight w:val="none"/>
        </w:rPr>
      </w:pPr>
    </w:p>
    <w:p>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color w:val="auto"/>
          <w:sz w:val="32"/>
          <w:szCs w:val="32"/>
          <w:highlight w:val="none"/>
          <w:lang w:val="en-US" w:eastAsia="zh-CN"/>
        </w:rPr>
        <w:t>响 应</w:t>
      </w:r>
      <w:r>
        <w:rPr>
          <w:rFonts w:hint="eastAsia" w:ascii="宋体" w:hAnsi="宋体" w:cs="宋体"/>
          <w:b/>
          <w:color w:val="auto"/>
          <w:sz w:val="32"/>
          <w:szCs w:val="32"/>
          <w:highlight w:val="none"/>
        </w:rPr>
        <w:t xml:space="preserve"> 函</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采购</w:t>
      </w:r>
      <w:r>
        <w:rPr>
          <w:rFonts w:hint="eastAsia" w:ascii="宋体" w:hAnsi="宋体" w:cs="宋体"/>
          <w:color w:val="auto"/>
          <w:sz w:val="24"/>
          <w:highlight w:val="none"/>
          <w:u w:val="single"/>
        </w:rPr>
        <w:t xml:space="preserve">人）     </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根据你方</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项目为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的谈判文件，遵照《中华人民共和国</w:t>
      </w:r>
      <w:r>
        <w:rPr>
          <w:rFonts w:hint="eastAsia" w:ascii="宋体" w:hAnsi="宋体" w:cs="宋体"/>
          <w:color w:val="auto"/>
          <w:sz w:val="24"/>
          <w:highlight w:val="none"/>
          <w:lang w:val="en-US" w:eastAsia="zh-CN"/>
        </w:rPr>
        <w:t>政府采购法</w:t>
      </w:r>
      <w:r>
        <w:rPr>
          <w:rFonts w:hint="eastAsia" w:ascii="宋体" w:hAnsi="宋体" w:cs="宋体"/>
          <w:color w:val="auto"/>
          <w:sz w:val="24"/>
          <w:highlight w:val="none"/>
        </w:rPr>
        <w:t>》等有关规定，经踏勘项目现场和研究上述谈判文件的</w:t>
      </w:r>
      <w:r>
        <w:rPr>
          <w:rFonts w:hint="eastAsia" w:ascii="宋体" w:hAnsi="宋体" w:cs="宋体"/>
          <w:color w:val="auto"/>
          <w:sz w:val="24"/>
          <w:highlight w:val="none"/>
          <w:lang w:eastAsia="zh-CN"/>
        </w:rPr>
        <w:t>供应商须知</w:t>
      </w:r>
      <w:r>
        <w:rPr>
          <w:rFonts w:hint="eastAsia" w:ascii="宋体" w:hAnsi="宋体" w:cs="宋体"/>
          <w:color w:val="auto"/>
          <w:sz w:val="24"/>
          <w:highlight w:val="none"/>
        </w:rPr>
        <w:t>、合同条件、技术规范和其他有关文件后，我方愿以</w:t>
      </w:r>
      <w:r>
        <w:rPr>
          <w:rFonts w:hint="eastAsia" w:ascii="宋体" w:hAnsi="宋体" w:cs="宋体"/>
          <w:color w:val="auto"/>
          <w:sz w:val="24"/>
          <w:highlight w:val="none"/>
          <w:lang w:eastAsia="zh-CN"/>
        </w:rPr>
        <w:t>人民币</w:t>
      </w:r>
      <w:r>
        <w:rPr>
          <w:rFonts w:hint="eastAsia" w:ascii="宋体" w:hAnsi="宋体" w:cs="宋体"/>
          <w:color w:val="auto"/>
          <w:sz w:val="24"/>
          <w:highlight w:val="none"/>
          <w:u w:val="single"/>
          <w:lang w:eastAsia="zh-CN"/>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元</w:t>
      </w:r>
      <w:r>
        <w:rPr>
          <w:rFonts w:hint="eastAsia" w:ascii="宋体" w:hAnsi="宋体" w:cs="宋体"/>
          <w:color w:val="auto"/>
          <w:sz w:val="24"/>
          <w:highlight w:val="none"/>
        </w:rPr>
        <w:t>的总报价承包上述</w:t>
      </w:r>
      <w:r>
        <w:rPr>
          <w:rFonts w:hint="eastAsia" w:ascii="宋体" w:hAnsi="宋体" w:cs="宋体"/>
          <w:color w:val="auto"/>
          <w:sz w:val="24"/>
          <w:highlight w:val="none"/>
          <w:lang w:val="en-US" w:eastAsia="zh-CN"/>
        </w:rPr>
        <w:t>货物与服务</w:t>
      </w:r>
      <w:r>
        <w:rPr>
          <w:rFonts w:hint="eastAsia" w:ascii="宋体" w:hAnsi="宋体" w:cs="宋体"/>
          <w:color w:val="auto"/>
          <w:sz w:val="24"/>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right="0" w:rightChars="0" w:firstLine="464" w:firstLineChars="20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我方已详细审核全部</w:t>
      </w:r>
      <w:r>
        <w:rPr>
          <w:rFonts w:hint="eastAsia" w:ascii="宋体" w:hAnsi="宋体" w:cs="宋体"/>
          <w:color w:val="auto"/>
          <w:spacing w:val="-4"/>
          <w:sz w:val="24"/>
          <w:highlight w:val="none"/>
          <w:lang w:eastAsia="zh-CN"/>
        </w:rPr>
        <w:t>谈判文件</w:t>
      </w:r>
      <w:r>
        <w:rPr>
          <w:rFonts w:hint="eastAsia" w:ascii="宋体" w:hAnsi="宋体" w:cs="宋体"/>
          <w:color w:val="auto"/>
          <w:spacing w:val="-4"/>
          <w:sz w:val="24"/>
          <w:highlight w:val="none"/>
        </w:rPr>
        <w:t>及有关附件，承诺</w:t>
      </w:r>
      <w:r>
        <w:rPr>
          <w:rFonts w:hint="eastAsia" w:ascii="宋体" w:hAnsi="宋体" w:cs="宋体"/>
          <w:color w:val="auto"/>
          <w:spacing w:val="-4"/>
          <w:sz w:val="24"/>
          <w:highlight w:val="none"/>
          <w:lang w:eastAsia="zh-CN"/>
        </w:rPr>
        <w:t>谈判文件</w:t>
      </w:r>
      <w:r>
        <w:rPr>
          <w:rFonts w:hint="eastAsia" w:ascii="宋体" w:hAnsi="宋体" w:cs="宋体"/>
          <w:color w:val="auto"/>
          <w:spacing w:val="-4"/>
          <w:sz w:val="24"/>
          <w:highlight w:val="none"/>
        </w:rPr>
        <w:t>及有关附件中所有条款。</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3、一旦我方中标，保证按照</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要求完成本项目货物与服务工作</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4、一旦我单位中标，我方将严格履行合同规定的责任和义务。由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担任项目负责人，提供相关</w:t>
      </w:r>
      <w:r>
        <w:rPr>
          <w:rFonts w:hint="eastAsia" w:ascii="宋体" w:hAnsi="宋体" w:cs="宋体"/>
          <w:color w:val="auto"/>
          <w:sz w:val="24"/>
          <w:highlight w:val="none"/>
          <w:lang w:eastAsia="zh-CN"/>
        </w:rPr>
        <w:t>技术</w:t>
      </w:r>
      <w:r>
        <w:rPr>
          <w:rFonts w:hint="eastAsia" w:ascii="宋体" w:hAnsi="宋体" w:cs="宋体"/>
          <w:color w:val="auto"/>
          <w:sz w:val="24"/>
          <w:highlight w:val="none"/>
        </w:rPr>
        <w:t>与服务</w:t>
      </w:r>
      <w:r>
        <w:rPr>
          <w:rFonts w:hint="eastAsia" w:ascii="宋体" w:hAnsi="宋体" w:cs="宋体"/>
          <w:color w:val="auto"/>
          <w:sz w:val="24"/>
          <w:highlight w:val="none"/>
          <w:lang w:eastAsia="zh-CN"/>
        </w:rPr>
        <w:t>，质量达到合格标准</w:t>
      </w:r>
      <w:r>
        <w:rPr>
          <w:rFonts w:hint="eastAsia" w:ascii="宋体" w:hAnsi="宋体" w:cs="宋体"/>
          <w:color w:val="auto"/>
          <w:sz w:val="24"/>
          <w:highlight w:val="none"/>
        </w:rPr>
        <w:t>。</w:t>
      </w:r>
    </w:p>
    <w:p>
      <w:pPr>
        <w:pStyle w:val="1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本项目响应有效期为 90日历天（从截止之日算起）。</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、我单位提供如下通讯地址：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电子邮箱（地址），确认本项目相关法律文书均通过提供的以上地址送达，相关文书只要发送至以上电子邮箱（地址）即视为送达，</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愿意承担一切法律后果。</w:t>
      </w: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人：</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lang w:val="en-US" w:eastAsia="zh-CN"/>
        </w:rPr>
        <w:t>盖章</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签字或盖章</w:t>
      </w:r>
      <w:r>
        <w:rPr>
          <w:rFonts w:hint="eastAsia" w:ascii="宋体" w:hAnsi="宋体" w:cs="宋体"/>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单位地址：</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ind w:right="-178" w:rightChars="-85"/>
        <w:jc w:val="center"/>
        <w:rPr>
          <w:rFonts w:hint="eastAsia" w:ascii="宋体" w:hAnsi="宋体" w:cs="宋体"/>
          <w:b/>
          <w:color w:val="auto"/>
          <w:sz w:val="32"/>
          <w:szCs w:val="32"/>
          <w:highlight w:val="none"/>
        </w:rPr>
      </w:pPr>
    </w:p>
    <w:p>
      <w:pPr>
        <w:ind w:right="-178" w:rightChars="-85"/>
        <w:jc w:val="center"/>
        <w:rPr>
          <w:rFonts w:hint="eastAsia" w:ascii="宋体" w:hAnsi="宋体" w:cs="宋体"/>
          <w:b/>
          <w:color w:val="auto"/>
          <w:sz w:val="32"/>
          <w:szCs w:val="32"/>
          <w:highlight w:val="none"/>
        </w:rPr>
      </w:pPr>
    </w:p>
    <w:p>
      <w:pPr>
        <w:pStyle w:val="38"/>
        <w:rPr>
          <w:rFonts w:hint="eastAsia" w:ascii="宋体" w:hAnsi="宋体" w:cs="宋体"/>
          <w:b/>
          <w:color w:val="auto"/>
          <w:sz w:val="32"/>
          <w:szCs w:val="32"/>
          <w:highlight w:val="none"/>
        </w:rPr>
        <w:sectPr>
          <w:headerReference r:id="rId7" w:type="default"/>
          <w:footerReference r:id="rId8" w:type="default"/>
          <w:pgSz w:w="11906" w:h="16838"/>
          <w:pgMar w:top="1134" w:right="1417" w:bottom="1134" w:left="1417" w:header="680" w:footer="680" w:gutter="0"/>
          <w:pgNumType w:fmt="decimal"/>
          <w:cols w:space="0" w:num="1"/>
          <w:rtlGutter w:val="0"/>
          <w:docGrid w:type="lines" w:linePitch="312" w:charSpace="0"/>
        </w:sectPr>
      </w:pPr>
    </w:p>
    <w:p>
      <w:pPr>
        <w:numPr>
          <w:ilvl w:val="0"/>
          <w:numId w:val="0"/>
        </w:numPr>
        <w:jc w:val="center"/>
        <w:rPr>
          <w:rFonts w:hint="eastAsia" w:ascii="宋体" w:hAnsi="宋体" w:cs="宋体"/>
          <w:b/>
          <w:bCs/>
          <w:color w:val="000000"/>
          <w:kern w:val="0"/>
          <w:sz w:val="32"/>
          <w:szCs w:val="32"/>
          <w:highlight w:val="none"/>
        </w:rPr>
      </w:pPr>
      <w:r>
        <w:rPr>
          <w:rFonts w:hint="eastAsia" w:ascii="宋体" w:hAnsi="宋体" w:cs="宋体"/>
          <w:b/>
          <w:bCs/>
          <w:color w:val="000000"/>
          <w:kern w:val="0"/>
          <w:sz w:val="32"/>
          <w:szCs w:val="32"/>
          <w:highlight w:val="none"/>
          <w:lang w:val="en-US" w:eastAsia="zh-CN" w:bidi="ar-SA"/>
        </w:rPr>
        <w:t>（3）</w:t>
      </w:r>
      <w:r>
        <w:rPr>
          <w:rFonts w:hint="eastAsia" w:ascii="宋体" w:hAnsi="宋体" w:cs="宋体"/>
          <w:b/>
          <w:bCs/>
          <w:color w:val="000000"/>
          <w:kern w:val="0"/>
          <w:sz w:val="32"/>
          <w:szCs w:val="32"/>
          <w:highlight w:val="none"/>
        </w:rPr>
        <w:t>分项报价清单</w:t>
      </w:r>
    </w:p>
    <w:tbl>
      <w:tblPr>
        <w:tblStyle w:val="2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90"/>
        <w:gridCol w:w="1645"/>
        <w:gridCol w:w="784"/>
        <w:gridCol w:w="829"/>
        <w:gridCol w:w="1030"/>
        <w:gridCol w:w="89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2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Times New Roman" w:cs="Times New Roman"/>
                <w:color w:val="auto"/>
                <w:kern w:val="0"/>
                <w:szCs w:val="21"/>
                <w:highlight w:val="none"/>
                <w:u w:val="none" w:color="000000"/>
              </w:rPr>
              <w:t>序号</w:t>
            </w:r>
          </w:p>
        </w:tc>
        <w:tc>
          <w:tcPr>
            <w:tcW w:w="2290"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Times New Roman" w:cs="Times New Roman"/>
                <w:color w:val="auto"/>
                <w:kern w:val="0"/>
                <w:szCs w:val="21"/>
                <w:highlight w:val="none"/>
                <w:u w:val="none" w:color="000000"/>
              </w:rPr>
              <w:t>产品品名</w:t>
            </w:r>
          </w:p>
        </w:tc>
        <w:tc>
          <w:tcPr>
            <w:tcW w:w="1645"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Times New Roman" w:cs="Times New Roman"/>
                <w:color w:val="auto"/>
                <w:kern w:val="0"/>
                <w:szCs w:val="21"/>
                <w:highlight w:val="none"/>
                <w:u w:val="none" w:color="000000"/>
              </w:rPr>
              <w:t>规格型号品牌（</w:t>
            </w:r>
            <w:r>
              <w:rPr>
                <w:rFonts w:hint="eastAsia" w:ascii="宋体" w:hAnsi="Times New Roman" w:eastAsia="Times New Roman" w:cs="Times New Roman"/>
                <w:color w:val="auto"/>
                <w:kern w:val="0"/>
                <w:szCs w:val="21"/>
                <w:highlight w:val="none"/>
                <w:u w:val="none" w:color="000000"/>
              </w:rPr>
              <w:t>生产厂家</w:t>
            </w:r>
            <w:r>
              <w:rPr>
                <w:rFonts w:hint="eastAsia" w:ascii="宋体" w:hAnsi="宋体" w:eastAsia="Times New Roman" w:cs="Times New Roman"/>
                <w:color w:val="auto"/>
                <w:kern w:val="0"/>
                <w:szCs w:val="21"/>
                <w:highlight w:val="none"/>
                <w:u w:val="none" w:color="000000"/>
              </w:rPr>
              <w:t>）</w:t>
            </w:r>
          </w:p>
        </w:tc>
        <w:tc>
          <w:tcPr>
            <w:tcW w:w="78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Times New Roman" w:cs="Times New Roman"/>
                <w:color w:val="auto"/>
                <w:kern w:val="0"/>
                <w:szCs w:val="21"/>
                <w:highlight w:val="none"/>
                <w:u w:val="none" w:color="000000"/>
              </w:rPr>
              <w:t>单位</w:t>
            </w:r>
          </w:p>
        </w:tc>
        <w:tc>
          <w:tcPr>
            <w:tcW w:w="829"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Times New Roman" w:cs="Times New Roman"/>
                <w:color w:val="auto"/>
                <w:kern w:val="0"/>
                <w:szCs w:val="21"/>
                <w:highlight w:val="none"/>
                <w:u w:val="none" w:color="000000"/>
              </w:rPr>
              <w:t>数量</w:t>
            </w:r>
          </w:p>
        </w:tc>
        <w:tc>
          <w:tcPr>
            <w:tcW w:w="1030" w:type="dxa"/>
            <w:noWrap w:val="0"/>
            <w:vAlign w:val="center"/>
          </w:tcPr>
          <w:p>
            <w:pPr>
              <w:keepNext w:val="0"/>
              <w:keepLines w:val="0"/>
              <w:widowControl/>
              <w:suppressLineNumbers w:val="0"/>
              <w:spacing w:before="0" w:beforeAutospacing="0" w:after="0" w:afterAutospacing="0" w:line="357" w:lineRule="atLeast"/>
              <w:ind w:left="-120" w:leftChars="-57" w:right="-118" w:rightChars="-56"/>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宋体" w:cs="Times New Roman"/>
                <w:color w:val="auto"/>
                <w:kern w:val="0"/>
                <w:szCs w:val="21"/>
                <w:highlight w:val="none"/>
                <w:u w:val="none" w:color="000000"/>
                <w:lang w:eastAsia="zh-CN"/>
              </w:rPr>
              <w:t>综合</w:t>
            </w:r>
            <w:r>
              <w:rPr>
                <w:rFonts w:hint="eastAsia" w:ascii="宋体" w:hAnsi="宋体" w:eastAsia="Times New Roman" w:cs="Times New Roman"/>
                <w:color w:val="auto"/>
                <w:kern w:val="0"/>
                <w:szCs w:val="21"/>
                <w:highlight w:val="none"/>
                <w:u w:val="none" w:color="000000"/>
              </w:rPr>
              <w:t>单价</w:t>
            </w:r>
          </w:p>
          <w:p>
            <w:pPr>
              <w:keepNext w:val="0"/>
              <w:keepLines w:val="0"/>
              <w:widowControl/>
              <w:suppressLineNumbers w:val="0"/>
              <w:spacing w:before="0" w:beforeAutospacing="0" w:after="0" w:afterAutospacing="0" w:line="357" w:lineRule="atLeast"/>
              <w:ind w:left="-120" w:leftChars="-57" w:right="-118" w:rightChars="-56"/>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Times New Roman" w:cs="Times New Roman"/>
                <w:color w:val="auto"/>
                <w:kern w:val="0"/>
                <w:szCs w:val="21"/>
                <w:highlight w:val="none"/>
                <w:u w:val="none" w:color="000000"/>
              </w:rPr>
              <w:t>（元）</w:t>
            </w:r>
          </w:p>
        </w:tc>
        <w:tc>
          <w:tcPr>
            <w:tcW w:w="893" w:type="dxa"/>
            <w:noWrap w:val="0"/>
            <w:vAlign w:val="center"/>
          </w:tcPr>
          <w:p>
            <w:pPr>
              <w:keepNext w:val="0"/>
              <w:keepLines w:val="0"/>
              <w:widowControl/>
              <w:suppressLineNumbers w:val="0"/>
              <w:spacing w:before="0" w:beforeAutospacing="0" w:after="0" w:afterAutospacing="0" w:line="357" w:lineRule="atLeast"/>
              <w:ind w:left="-120" w:leftChars="-57" w:right="-118" w:rightChars="-56"/>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Times New Roman" w:cs="Times New Roman"/>
                <w:color w:val="auto"/>
                <w:kern w:val="0"/>
                <w:szCs w:val="21"/>
                <w:highlight w:val="none"/>
                <w:u w:val="none" w:color="000000"/>
              </w:rPr>
              <w:t>合价</w:t>
            </w:r>
          </w:p>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Times New Roman" w:cs="Times New Roman"/>
                <w:color w:val="auto"/>
                <w:kern w:val="0"/>
                <w:szCs w:val="21"/>
                <w:highlight w:val="none"/>
                <w:u w:val="none" w:color="000000"/>
              </w:rPr>
              <w:t>（元）</w:t>
            </w:r>
          </w:p>
        </w:tc>
        <w:tc>
          <w:tcPr>
            <w:tcW w:w="934" w:type="dxa"/>
            <w:noWrap w:val="0"/>
            <w:vAlign w:val="center"/>
          </w:tcPr>
          <w:p>
            <w:pPr>
              <w:keepNext w:val="0"/>
              <w:keepLines w:val="0"/>
              <w:widowControl/>
              <w:suppressLineNumbers w:val="0"/>
              <w:spacing w:before="0" w:beforeAutospacing="0" w:after="0" w:afterAutospacing="0" w:line="357" w:lineRule="atLeast"/>
              <w:ind w:left="-99" w:leftChars="-47" w:right="-103" w:rightChars="-49"/>
              <w:jc w:val="center"/>
              <w:textAlignment w:val="baseline"/>
              <w:rPr>
                <w:rFonts w:hint="eastAsia" w:ascii="宋体" w:hAnsi="宋体" w:eastAsia="Times New Roman" w:cs="Times New Roman"/>
                <w:color w:val="auto"/>
                <w:kern w:val="0"/>
                <w:szCs w:val="21"/>
                <w:highlight w:val="none"/>
                <w:u w:val="none" w:color="000000"/>
              </w:rPr>
            </w:pPr>
            <w:r>
              <w:rPr>
                <w:rFonts w:hint="eastAsia" w:ascii="宋体" w:hAnsi="宋体" w:eastAsia="Times New Roman" w:cs="Times New Roman"/>
                <w:color w:val="auto"/>
                <w:kern w:val="0"/>
                <w:szCs w:val="21"/>
                <w:highlight w:val="none"/>
                <w:u w:val="none" w:color="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rPr>
            </w:pPr>
            <w:r>
              <w:rPr>
                <w:rFonts w:hint="eastAsia" w:ascii="宋体" w:hAnsi="宋体" w:eastAsia="Times New Roman" w:cs="宋体"/>
                <w:color w:val="auto"/>
                <w:kern w:val="0"/>
                <w:szCs w:val="21"/>
                <w:highlight w:val="none"/>
                <w:u w:val="none" w:color="000000"/>
              </w:rPr>
              <w:t>1</w:t>
            </w:r>
          </w:p>
        </w:tc>
        <w:tc>
          <w:tcPr>
            <w:tcW w:w="2290"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1645" w:type="dxa"/>
            <w:noWrap w:val="0"/>
            <w:vAlign w:val="center"/>
          </w:tcPr>
          <w:p>
            <w:pPr>
              <w:keepNext w:val="0"/>
              <w:keepLines w:val="0"/>
              <w:widowControl/>
              <w:suppressLineNumbers w:val="0"/>
              <w:spacing w:before="0" w:beforeAutospacing="0" w:after="0" w:afterAutospacing="0" w:line="357" w:lineRule="atLeast"/>
              <w:ind w:left="0" w:right="0"/>
              <w:jc w:val="left"/>
              <w:textAlignment w:val="center"/>
              <w:rPr>
                <w:rFonts w:hint="eastAsia" w:ascii="宋体" w:hAnsi="宋体" w:eastAsia="Times New Roman" w:cs="宋体"/>
                <w:bCs/>
                <w:color w:val="auto"/>
                <w:kern w:val="0"/>
                <w:szCs w:val="21"/>
                <w:highlight w:val="none"/>
                <w:u w:val="none" w:color="000000"/>
                <w:lang w:bidi="ar"/>
              </w:rPr>
            </w:pPr>
          </w:p>
        </w:tc>
        <w:tc>
          <w:tcPr>
            <w:tcW w:w="78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829"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1030"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eastAsia" w:ascii="宋体" w:hAnsi="宋体" w:eastAsia="Times New Roman" w:cs="宋体"/>
                <w:color w:val="auto"/>
                <w:kern w:val="0"/>
                <w:szCs w:val="21"/>
                <w:highlight w:val="none"/>
                <w:u w:val="none" w:color="000000"/>
                <w:lang w:bidi="ar"/>
              </w:rPr>
            </w:pPr>
          </w:p>
        </w:tc>
        <w:tc>
          <w:tcPr>
            <w:tcW w:w="893"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eastAsia" w:ascii="宋体" w:hAnsi="宋体" w:eastAsia="Times New Roman" w:cs="宋体"/>
                <w:color w:val="auto"/>
                <w:kern w:val="0"/>
                <w:szCs w:val="21"/>
                <w:highlight w:val="none"/>
                <w:u w:val="none" w:color="000000"/>
                <w:lang w:bidi="ar"/>
              </w:rPr>
            </w:pPr>
          </w:p>
        </w:tc>
        <w:tc>
          <w:tcPr>
            <w:tcW w:w="934"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default" w:ascii="宋体" w:hAnsi="宋体" w:eastAsia="Times New Roman" w:cs="宋体"/>
                <w:color w:val="auto"/>
                <w:kern w:val="0"/>
                <w:szCs w:val="21"/>
                <w:highlight w:val="none"/>
                <w:u w:val="none" w:color="00000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rPr>
            </w:pPr>
            <w:r>
              <w:rPr>
                <w:rFonts w:hint="eastAsia" w:ascii="宋体" w:hAnsi="宋体" w:eastAsia="Times New Roman" w:cs="宋体"/>
                <w:color w:val="auto"/>
                <w:kern w:val="0"/>
                <w:szCs w:val="21"/>
                <w:highlight w:val="none"/>
                <w:u w:val="none" w:color="000000"/>
              </w:rPr>
              <w:t>2</w:t>
            </w:r>
          </w:p>
        </w:tc>
        <w:tc>
          <w:tcPr>
            <w:tcW w:w="2290"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1645" w:type="dxa"/>
            <w:noWrap w:val="0"/>
            <w:vAlign w:val="center"/>
          </w:tcPr>
          <w:p>
            <w:pPr>
              <w:keepNext w:val="0"/>
              <w:keepLines w:val="0"/>
              <w:widowControl/>
              <w:suppressLineNumbers w:val="0"/>
              <w:spacing w:before="0" w:beforeAutospacing="0" w:after="0" w:afterAutospacing="0" w:line="357" w:lineRule="atLeast"/>
              <w:ind w:left="0" w:right="0"/>
              <w:jc w:val="left"/>
              <w:textAlignment w:val="center"/>
              <w:rPr>
                <w:rFonts w:hint="eastAsia" w:ascii="宋体" w:hAnsi="宋体" w:eastAsia="Times New Roman" w:cs="宋体"/>
                <w:bCs/>
                <w:color w:val="auto"/>
                <w:kern w:val="0"/>
                <w:szCs w:val="21"/>
                <w:highlight w:val="none"/>
                <w:u w:val="none" w:color="000000"/>
                <w:lang w:bidi="ar"/>
              </w:rPr>
            </w:pPr>
          </w:p>
        </w:tc>
        <w:tc>
          <w:tcPr>
            <w:tcW w:w="78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829"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1030"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eastAsia" w:ascii="宋体" w:hAnsi="宋体" w:eastAsia="Times New Roman" w:cs="宋体"/>
                <w:color w:val="auto"/>
                <w:kern w:val="0"/>
                <w:szCs w:val="21"/>
                <w:highlight w:val="none"/>
                <w:u w:val="none" w:color="000000"/>
                <w:lang w:bidi="ar"/>
              </w:rPr>
            </w:pPr>
          </w:p>
        </w:tc>
        <w:tc>
          <w:tcPr>
            <w:tcW w:w="893"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eastAsia" w:ascii="宋体" w:hAnsi="宋体" w:eastAsia="Times New Roman" w:cs="宋体"/>
                <w:color w:val="auto"/>
                <w:kern w:val="0"/>
                <w:szCs w:val="21"/>
                <w:highlight w:val="none"/>
                <w:u w:val="none" w:color="000000"/>
                <w:lang w:bidi="ar"/>
              </w:rPr>
            </w:pPr>
          </w:p>
        </w:tc>
        <w:tc>
          <w:tcPr>
            <w:tcW w:w="934"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default" w:ascii="宋体" w:hAnsi="宋体" w:eastAsia="Times New Roman" w:cs="宋体"/>
                <w:color w:val="auto"/>
                <w:kern w:val="0"/>
                <w:szCs w:val="21"/>
                <w:highlight w:val="none"/>
                <w:u w:val="none" w:color="00000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rPr>
            </w:pPr>
            <w:r>
              <w:rPr>
                <w:rFonts w:hint="eastAsia" w:ascii="宋体" w:hAnsi="宋体" w:eastAsia="Times New Roman" w:cs="宋体"/>
                <w:color w:val="auto"/>
                <w:kern w:val="0"/>
                <w:szCs w:val="21"/>
                <w:highlight w:val="none"/>
                <w:u w:val="none" w:color="000000"/>
              </w:rPr>
              <w:t>3</w:t>
            </w:r>
          </w:p>
        </w:tc>
        <w:tc>
          <w:tcPr>
            <w:tcW w:w="2290"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1645" w:type="dxa"/>
            <w:noWrap w:val="0"/>
            <w:vAlign w:val="center"/>
          </w:tcPr>
          <w:p>
            <w:pPr>
              <w:keepNext w:val="0"/>
              <w:keepLines w:val="0"/>
              <w:widowControl/>
              <w:suppressLineNumbers w:val="0"/>
              <w:spacing w:before="0" w:beforeAutospacing="0" w:after="0" w:afterAutospacing="0" w:line="357" w:lineRule="atLeast"/>
              <w:ind w:left="0" w:right="0"/>
              <w:jc w:val="left"/>
              <w:textAlignment w:val="center"/>
              <w:rPr>
                <w:rFonts w:hint="eastAsia" w:ascii="宋体" w:hAnsi="宋体" w:eastAsia="Times New Roman" w:cs="宋体"/>
                <w:bCs/>
                <w:color w:val="auto"/>
                <w:kern w:val="0"/>
                <w:szCs w:val="21"/>
                <w:highlight w:val="none"/>
                <w:u w:val="none" w:color="000000"/>
                <w:lang w:bidi="ar"/>
              </w:rPr>
            </w:pPr>
          </w:p>
        </w:tc>
        <w:tc>
          <w:tcPr>
            <w:tcW w:w="78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829"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1030"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eastAsia" w:ascii="宋体" w:hAnsi="宋体" w:eastAsia="Times New Roman" w:cs="宋体"/>
                <w:color w:val="auto"/>
                <w:kern w:val="0"/>
                <w:szCs w:val="21"/>
                <w:highlight w:val="none"/>
                <w:u w:val="none" w:color="000000"/>
                <w:lang w:bidi="ar"/>
              </w:rPr>
            </w:pPr>
          </w:p>
        </w:tc>
        <w:tc>
          <w:tcPr>
            <w:tcW w:w="893"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eastAsia" w:ascii="宋体" w:hAnsi="宋体" w:eastAsia="Times New Roman" w:cs="宋体"/>
                <w:color w:val="auto"/>
                <w:kern w:val="0"/>
                <w:szCs w:val="21"/>
                <w:highlight w:val="none"/>
                <w:u w:val="none" w:color="000000"/>
                <w:lang w:bidi="ar"/>
              </w:rPr>
            </w:pPr>
          </w:p>
        </w:tc>
        <w:tc>
          <w:tcPr>
            <w:tcW w:w="934"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default" w:ascii="宋体" w:hAnsi="宋体" w:eastAsia="Times New Roman" w:cs="宋体"/>
                <w:color w:val="auto"/>
                <w:kern w:val="0"/>
                <w:szCs w:val="21"/>
                <w:highlight w:val="none"/>
                <w:u w:val="none" w:color="00000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default" w:ascii="宋体" w:hAnsi="宋体" w:eastAsia="Times New Roman" w:cs="宋体"/>
                <w:color w:val="auto"/>
                <w:kern w:val="0"/>
                <w:szCs w:val="21"/>
                <w:highlight w:val="none"/>
                <w:u w:val="none" w:color="000000"/>
              </w:rPr>
            </w:pPr>
            <w:r>
              <w:rPr>
                <w:rFonts w:hint="eastAsia" w:ascii="宋体" w:hAnsi="宋体" w:eastAsia="Times New Roman" w:cs="宋体"/>
                <w:color w:val="auto"/>
                <w:kern w:val="0"/>
                <w:szCs w:val="21"/>
                <w:highlight w:val="none"/>
                <w:u w:val="none" w:color="000000"/>
              </w:rPr>
              <w:t>...</w:t>
            </w:r>
          </w:p>
        </w:tc>
        <w:tc>
          <w:tcPr>
            <w:tcW w:w="2290"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1645" w:type="dxa"/>
            <w:noWrap w:val="0"/>
            <w:vAlign w:val="center"/>
          </w:tcPr>
          <w:p>
            <w:pPr>
              <w:keepNext w:val="0"/>
              <w:keepLines w:val="0"/>
              <w:widowControl/>
              <w:suppressLineNumbers w:val="0"/>
              <w:spacing w:before="0" w:beforeAutospacing="0" w:after="0" w:afterAutospacing="0" w:line="357" w:lineRule="atLeast"/>
              <w:ind w:left="0" w:right="0"/>
              <w:jc w:val="left"/>
              <w:textAlignment w:val="center"/>
              <w:rPr>
                <w:rFonts w:hint="eastAsia" w:ascii="宋体" w:hAnsi="宋体" w:eastAsia="Times New Roman" w:cs="宋体"/>
                <w:bCs/>
                <w:color w:val="auto"/>
                <w:kern w:val="0"/>
                <w:szCs w:val="21"/>
                <w:highlight w:val="none"/>
                <w:u w:val="none" w:color="000000"/>
                <w:lang w:bidi="ar"/>
              </w:rPr>
            </w:pPr>
          </w:p>
        </w:tc>
        <w:tc>
          <w:tcPr>
            <w:tcW w:w="784"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829" w:type="dxa"/>
            <w:noWrap w:val="0"/>
            <w:vAlign w:val="center"/>
          </w:tcPr>
          <w:p>
            <w:pPr>
              <w:keepNext w:val="0"/>
              <w:keepLines w:val="0"/>
              <w:widowControl/>
              <w:suppressLineNumbers w:val="0"/>
              <w:spacing w:before="0" w:beforeAutospacing="0" w:after="0" w:afterAutospacing="0" w:line="357" w:lineRule="atLeast"/>
              <w:ind w:left="0" w:right="0"/>
              <w:jc w:val="center"/>
              <w:textAlignment w:val="baseline"/>
              <w:rPr>
                <w:rFonts w:hint="eastAsia" w:ascii="宋体" w:hAnsi="宋体" w:eastAsia="Times New Roman" w:cs="宋体"/>
                <w:color w:val="auto"/>
                <w:kern w:val="0"/>
                <w:szCs w:val="21"/>
                <w:highlight w:val="none"/>
                <w:u w:val="none" w:color="000000"/>
                <w:lang w:bidi="ar"/>
              </w:rPr>
            </w:pPr>
          </w:p>
        </w:tc>
        <w:tc>
          <w:tcPr>
            <w:tcW w:w="1030"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eastAsia" w:ascii="宋体" w:hAnsi="宋体" w:eastAsia="Times New Roman" w:cs="宋体"/>
                <w:color w:val="auto"/>
                <w:kern w:val="0"/>
                <w:szCs w:val="21"/>
                <w:highlight w:val="none"/>
                <w:u w:val="none" w:color="000000"/>
                <w:lang w:bidi="ar"/>
              </w:rPr>
            </w:pPr>
          </w:p>
        </w:tc>
        <w:tc>
          <w:tcPr>
            <w:tcW w:w="893"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eastAsia" w:ascii="宋体" w:hAnsi="宋体" w:eastAsia="Times New Roman" w:cs="宋体"/>
                <w:color w:val="auto"/>
                <w:kern w:val="0"/>
                <w:szCs w:val="21"/>
                <w:highlight w:val="none"/>
                <w:u w:val="none" w:color="000000"/>
                <w:lang w:bidi="ar"/>
              </w:rPr>
            </w:pPr>
          </w:p>
        </w:tc>
        <w:tc>
          <w:tcPr>
            <w:tcW w:w="934" w:type="dxa"/>
            <w:noWrap w:val="0"/>
            <w:vAlign w:val="center"/>
          </w:tcPr>
          <w:p>
            <w:pPr>
              <w:keepNext w:val="0"/>
              <w:keepLines w:val="0"/>
              <w:widowControl/>
              <w:suppressLineNumbers w:val="0"/>
              <w:spacing w:before="0" w:beforeAutospacing="0" w:after="0" w:afterAutospacing="0" w:line="357" w:lineRule="atLeast"/>
              <w:ind w:left="0" w:right="0"/>
              <w:jc w:val="center"/>
              <w:textAlignment w:val="center"/>
              <w:rPr>
                <w:rFonts w:hint="default" w:ascii="宋体" w:hAnsi="宋体" w:eastAsia="Times New Roman" w:cs="宋体"/>
                <w:color w:val="auto"/>
                <w:kern w:val="0"/>
                <w:szCs w:val="21"/>
                <w:highlight w:val="none"/>
                <w:u w:val="none" w:color="00000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129" w:type="dxa"/>
            <w:gridSpan w:val="8"/>
            <w:noWrap w:val="0"/>
            <w:vAlign w:val="center"/>
          </w:tcPr>
          <w:p>
            <w:pPr>
              <w:keepNext w:val="0"/>
              <w:keepLines w:val="0"/>
              <w:widowControl/>
              <w:suppressLineNumbers w:val="0"/>
              <w:spacing w:before="0" w:beforeAutospacing="0" w:after="0" w:afterAutospacing="0" w:line="357" w:lineRule="atLeast"/>
              <w:ind w:left="0" w:right="0"/>
              <w:jc w:val="left"/>
              <w:textAlignment w:val="center"/>
              <w:rPr>
                <w:rFonts w:hint="default" w:ascii="宋体" w:hAnsi="宋体" w:eastAsia="Times New Roman" w:cs="宋体"/>
                <w:color w:val="auto"/>
                <w:kern w:val="0"/>
                <w:szCs w:val="21"/>
                <w:highlight w:val="none"/>
                <w:u w:val="none" w:color="000000"/>
                <w:lang w:bidi="ar"/>
              </w:rPr>
            </w:pPr>
            <w:r>
              <w:rPr>
                <w:rFonts w:hint="eastAsia" w:ascii="宋体" w:hAnsi="宋体" w:eastAsia="Times New Roman" w:cs="宋体"/>
                <w:b/>
                <w:bCs/>
                <w:color w:val="auto"/>
                <w:kern w:val="0"/>
                <w:sz w:val="24"/>
                <w:szCs w:val="20"/>
                <w:highlight w:val="none"/>
                <w:u w:val="none" w:color="000000"/>
                <w:lang w:bidi="ar"/>
              </w:rPr>
              <w:t>总报价（1+2+...）大写：</w:t>
            </w:r>
            <w:r>
              <w:rPr>
                <w:rFonts w:hint="eastAsia" w:ascii="宋体" w:hAnsi="宋体" w:eastAsia="Times New Roman" w:cs="宋体"/>
                <w:b/>
                <w:bCs/>
                <w:color w:val="auto"/>
                <w:kern w:val="0"/>
                <w:sz w:val="24"/>
                <w:szCs w:val="20"/>
                <w:highlight w:val="none"/>
                <w:u w:val="single" w:color="000000"/>
                <w:lang w:bidi="ar"/>
              </w:rPr>
              <w:t xml:space="preserve">                 </w:t>
            </w:r>
            <w:r>
              <w:rPr>
                <w:rFonts w:hint="eastAsia" w:ascii="宋体" w:hAnsi="宋体" w:eastAsia="Times New Roman" w:cs="宋体"/>
                <w:b/>
                <w:bCs/>
                <w:color w:val="auto"/>
                <w:kern w:val="0"/>
                <w:sz w:val="24"/>
                <w:szCs w:val="20"/>
                <w:highlight w:val="none"/>
                <w:u w:val="none" w:color="000000"/>
                <w:lang w:bidi="ar"/>
              </w:rPr>
              <w:t>元；小写：</w:t>
            </w:r>
            <w:r>
              <w:rPr>
                <w:rFonts w:hint="eastAsia" w:ascii="宋体" w:hAnsi="宋体" w:eastAsia="Times New Roman" w:cs="宋体"/>
                <w:b/>
                <w:bCs/>
                <w:color w:val="auto"/>
                <w:kern w:val="0"/>
                <w:sz w:val="24"/>
                <w:szCs w:val="20"/>
                <w:highlight w:val="none"/>
                <w:u w:val="single" w:color="000000"/>
                <w:lang w:bidi="ar"/>
              </w:rPr>
              <w:t xml:space="preserve">      </w:t>
            </w:r>
            <w:r>
              <w:rPr>
                <w:rFonts w:hint="eastAsia" w:ascii="宋体" w:hAnsi="宋体" w:eastAsia="Times New Roman" w:cs="宋体"/>
                <w:b/>
                <w:bCs/>
                <w:color w:val="auto"/>
                <w:kern w:val="0"/>
                <w:sz w:val="24"/>
                <w:szCs w:val="20"/>
                <w:highlight w:val="none"/>
                <w:u w:val="none" w:color="000000"/>
                <w:lang w:bidi="ar"/>
              </w:rPr>
              <w:t>元；（填入</w:t>
            </w:r>
            <w:r>
              <w:rPr>
                <w:rFonts w:hint="eastAsia" w:ascii="宋体" w:hAnsi="宋体" w:eastAsia="宋体" w:cs="宋体"/>
                <w:b/>
                <w:bCs/>
                <w:color w:val="auto"/>
                <w:kern w:val="0"/>
                <w:sz w:val="24"/>
                <w:szCs w:val="20"/>
                <w:highlight w:val="none"/>
                <w:u w:val="none" w:color="000000"/>
                <w:lang w:val="en-US" w:eastAsia="zh-CN" w:bidi="ar"/>
              </w:rPr>
              <w:t>报价</w:t>
            </w:r>
            <w:r>
              <w:rPr>
                <w:rFonts w:hint="eastAsia" w:ascii="宋体" w:hAnsi="宋体" w:eastAsia="Times New Roman" w:cs="宋体"/>
                <w:b/>
                <w:bCs/>
                <w:color w:val="auto"/>
                <w:kern w:val="0"/>
                <w:sz w:val="24"/>
                <w:szCs w:val="20"/>
                <w:highlight w:val="none"/>
                <w:u w:val="none" w:color="000000"/>
                <w:lang w:bidi="ar"/>
              </w:rPr>
              <w:t xml:space="preserve">函和开标一览表） </w:t>
            </w:r>
          </w:p>
        </w:tc>
      </w:tr>
    </w:tbl>
    <w:p>
      <w:pPr>
        <w:widowControl/>
        <w:spacing w:line="440" w:lineRule="exact"/>
        <w:ind w:firstLine="417" w:firstLineChars="199"/>
        <w:jc w:val="left"/>
        <w:textAlignment w:val="baseline"/>
        <w:rPr>
          <w:rFonts w:ascii="Times New Roman" w:hAnsi="Times New Roman" w:eastAsia="宋体" w:cs="Times New Roman"/>
          <w:color w:val="auto"/>
          <w:kern w:val="0"/>
          <w:szCs w:val="20"/>
          <w:highlight w:val="none"/>
          <w:u w:val="none" w:color="000000"/>
        </w:rPr>
      </w:pPr>
      <w:r>
        <w:rPr>
          <w:rFonts w:hint="eastAsia" w:ascii="宋体" w:hAnsi="宋体" w:eastAsia="宋体" w:cs="宋体"/>
          <w:color w:val="auto"/>
          <w:kern w:val="0"/>
          <w:szCs w:val="21"/>
          <w:highlight w:val="none"/>
          <w:u w:val="none" w:color="000000"/>
          <w:lang w:bidi="ar"/>
        </w:rPr>
        <w:t>注：1.所有</w:t>
      </w:r>
      <w:r>
        <w:rPr>
          <w:rFonts w:hint="eastAsia" w:ascii="宋体" w:hAnsi="宋体" w:eastAsia="宋体" w:cs="宋体"/>
          <w:color w:val="auto"/>
          <w:kern w:val="0"/>
          <w:szCs w:val="21"/>
          <w:highlight w:val="none"/>
          <w:u w:val="none" w:color="000000"/>
          <w:lang w:val="en-US" w:eastAsia="zh-CN" w:bidi="ar"/>
        </w:rPr>
        <w:t>报价</w:t>
      </w:r>
      <w:r>
        <w:rPr>
          <w:rFonts w:hint="eastAsia" w:ascii="宋体" w:hAnsi="宋体" w:eastAsia="宋体" w:cs="宋体"/>
          <w:color w:val="auto"/>
          <w:kern w:val="0"/>
          <w:szCs w:val="21"/>
          <w:highlight w:val="none"/>
          <w:u w:val="none" w:color="000000"/>
          <w:lang w:bidi="ar"/>
        </w:rPr>
        <w:t>只能选择一种方案，单价和合价的报价只能是唯一，且须列出详细的分项报价。</w:t>
      </w:r>
      <w:r>
        <w:rPr>
          <w:rFonts w:hint="eastAsia" w:ascii="宋体" w:hAnsi="宋体" w:eastAsia="宋体" w:cs="宋体"/>
          <w:b/>
          <w:bCs/>
          <w:color w:val="auto"/>
          <w:kern w:val="0"/>
          <w:szCs w:val="21"/>
          <w:highlight w:val="none"/>
          <w:u w:val="none" w:color="000000"/>
          <w:lang w:bidi="ar"/>
        </w:rPr>
        <w:t xml:space="preserve">（与采购清单项相一致，不得缺项，否则视同包含在其他项目。） </w:t>
      </w:r>
    </w:p>
    <w:p>
      <w:pPr>
        <w:widowControl/>
        <w:autoSpaceDE w:val="0"/>
        <w:autoSpaceDN w:val="0"/>
        <w:spacing w:line="440" w:lineRule="exact"/>
        <w:ind w:firstLine="420" w:firstLineChars="200"/>
        <w:jc w:val="left"/>
        <w:textAlignment w:val="baseline"/>
        <w:rPr>
          <w:rFonts w:hint="eastAsia" w:ascii="宋体" w:hAnsi="宋体" w:cs="宋体"/>
          <w:bCs/>
          <w:szCs w:val="21"/>
          <w:highlight w:val="none"/>
        </w:rPr>
      </w:pPr>
      <w:r>
        <w:rPr>
          <w:rFonts w:hint="eastAsia" w:ascii="宋体" w:hAnsi="宋体" w:eastAsia="宋体" w:cs="宋体"/>
          <w:color w:val="auto"/>
          <w:kern w:val="0"/>
          <w:szCs w:val="21"/>
          <w:highlight w:val="none"/>
          <w:u w:val="none" w:color="000000"/>
          <w:lang w:bidi="ar"/>
        </w:rPr>
        <w:t>2.报价采用综合单价法，</w:t>
      </w:r>
      <w:r>
        <w:rPr>
          <w:rFonts w:hint="eastAsia" w:ascii="宋体" w:hAnsi="宋体" w:eastAsia="宋体" w:cs="Times New Roman"/>
          <w:b/>
          <w:bCs/>
          <w:color w:val="auto"/>
          <w:kern w:val="0"/>
          <w:szCs w:val="21"/>
          <w:highlight w:val="none"/>
          <w:u w:val="none" w:color="000000"/>
        </w:rPr>
        <w:t>综</w:t>
      </w:r>
      <w:r>
        <w:rPr>
          <w:rFonts w:hint="eastAsia" w:ascii="宋体" w:hAnsi="Times New Roman" w:eastAsia="宋体" w:cs="Times New Roman"/>
          <w:b/>
          <w:bCs/>
          <w:color w:val="auto"/>
          <w:kern w:val="0"/>
          <w:szCs w:val="21"/>
          <w:highlight w:val="none"/>
          <w:u w:val="none" w:color="000000"/>
        </w:rPr>
        <w:t>合单价包括但不限于：完成本项目所有内容所需的人工费、材料费（含主材及辅材）、制造费用、机械费、安装费、措施费、装卸费、运输费、管理费、利润、风险费用、调试、验收、培训及国家对中标单位征收的各种税费等所有一切费用，综合单价今后将不作任何调整。</w:t>
      </w:r>
    </w:p>
    <w:p>
      <w:pPr>
        <w:spacing w:after="120" w:line="360" w:lineRule="auto"/>
        <w:rPr>
          <w:rFonts w:hint="eastAsia" w:ascii="宋体" w:hAnsi="宋体" w:cs="宋体"/>
          <w:szCs w:val="20"/>
          <w:highlight w:val="none"/>
        </w:rPr>
      </w:pPr>
    </w:p>
    <w:p>
      <w:pPr>
        <w:spacing w:line="480" w:lineRule="auto"/>
        <w:rPr>
          <w:rFonts w:hint="eastAsia" w:ascii="宋体" w:hAnsi="宋体" w:cs="宋体"/>
          <w:sz w:val="24"/>
          <w:highlight w:val="none"/>
        </w:rPr>
      </w:pPr>
      <w:r>
        <w:rPr>
          <w:rFonts w:hint="eastAsia" w:ascii="宋体" w:hAnsi="宋体" w:cs="宋体"/>
          <w:sz w:val="24"/>
          <w:highlight w:val="none"/>
        </w:rPr>
        <w:t>投标人名称（盖章）：</w:t>
      </w:r>
      <w:r>
        <w:rPr>
          <w:rFonts w:hint="eastAsia" w:ascii="宋体" w:hAnsi="宋体" w:cs="宋体"/>
          <w:sz w:val="24"/>
          <w:highlight w:val="none"/>
          <w:u w:val="single"/>
        </w:rPr>
        <w:t xml:space="preserve">                         </w:t>
      </w:r>
    </w:p>
    <w:p>
      <w:pPr>
        <w:spacing w:line="480" w:lineRule="auto"/>
        <w:rPr>
          <w:rFonts w:hint="eastAsia" w:ascii="宋体" w:hAnsi="宋体" w:cs="宋体"/>
          <w:sz w:val="24"/>
          <w:highlight w:val="none"/>
          <w:u w:val="single"/>
        </w:rPr>
      </w:pPr>
      <w:r>
        <w:rPr>
          <w:rFonts w:hint="eastAsia" w:ascii="宋体" w:hAnsi="宋体" w:cs="宋体"/>
          <w:sz w:val="24"/>
          <w:highlight w:val="none"/>
        </w:rPr>
        <w:t>法定代表人 (签字或盖章)：</w:t>
      </w:r>
      <w:r>
        <w:rPr>
          <w:rFonts w:hint="eastAsia" w:ascii="宋体" w:hAnsi="宋体" w:cs="宋体"/>
          <w:sz w:val="24"/>
          <w:highlight w:val="none"/>
          <w:u w:val="single"/>
        </w:rPr>
        <w:t xml:space="preserve">                          </w:t>
      </w:r>
    </w:p>
    <w:p>
      <w:pPr>
        <w:rPr>
          <w:rFonts w:hint="eastAsia"/>
          <w:highlight w:val="none"/>
        </w:rPr>
        <w:sectPr>
          <w:pgSz w:w="11906" w:h="16838"/>
          <w:pgMar w:top="850" w:right="1417" w:bottom="850" w:left="1417" w:header="680" w:footer="680" w:gutter="0"/>
          <w:cols w:space="720" w:num="1"/>
          <w:docGrid w:type="lines" w:linePitch="312" w:charSpace="0"/>
        </w:sect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ageBreakBefore/>
        <w:numPr>
          <w:ilvl w:val="0"/>
          <w:numId w:val="0"/>
        </w:numPr>
        <w:spacing w:before="156" w:beforeLines="50" w:after="156" w:afterLines="50"/>
        <w:jc w:val="center"/>
        <w:rPr>
          <w:rFonts w:hint="eastAsia" w:ascii="宋体" w:hAnsi="宋体" w:cs="宋体"/>
          <w:b/>
          <w:bCs/>
          <w:color w:val="000000"/>
          <w:kern w:val="0"/>
          <w:sz w:val="32"/>
          <w:szCs w:val="32"/>
          <w:highlight w:val="none"/>
        </w:rPr>
      </w:pPr>
      <w:r>
        <w:rPr>
          <w:rFonts w:hint="eastAsia" w:ascii="宋体" w:hAnsi="宋体" w:eastAsia="宋体" w:cs="宋体"/>
          <w:b/>
          <w:bCs/>
          <w:color w:val="000000"/>
          <w:kern w:val="0"/>
          <w:sz w:val="32"/>
          <w:szCs w:val="32"/>
          <w:lang w:val="en-US" w:eastAsia="zh-CN" w:bidi="ar-SA"/>
        </w:rPr>
        <w:t>（4）</w:t>
      </w:r>
      <w:r>
        <w:rPr>
          <w:rFonts w:hint="eastAsia" w:ascii="宋体" w:hAnsi="宋体" w:cs="宋体"/>
          <w:b/>
          <w:bCs/>
          <w:color w:val="000000"/>
          <w:kern w:val="0"/>
          <w:sz w:val="32"/>
          <w:szCs w:val="32"/>
          <w:highlight w:val="none"/>
        </w:rPr>
        <w:t>技术参数响应表</w:t>
      </w:r>
    </w:p>
    <w:p>
      <w:pPr>
        <w:rPr>
          <w:rFonts w:hint="eastAsia" w:ascii="宋体" w:hAnsi="宋体" w:eastAsia="宋体" w:cs="Times New Roman"/>
          <w:sz w:val="24"/>
          <w:highlight w:val="none"/>
        </w:rPr>
      </w:pPr>
    </w:p>
    <w:tbl>
      <w:tblPr>
        <w:tblStyle w:val="2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1539"/>
        <w:gridCol w:w="1555"/>
        <w:gridCol w:w="1577"/>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5" w:type="dxa"/>
            <w:vMerge w:val="restart"/>
            <w:noWrap w:val="0"/>
            <w:vAlign w:val="center"/>
          </w:tcPr>
          <w:p>
            <w:pPr>
              <w:spacing w:line="240" w:lineRule="atLeast"/>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421" w:type="dxa"/>
            <w:vMerge w:val="restart"/>
            <w:noWrap w:val="0"/>
            <w:vAlign w:val="center"/>
          </w:tcPr>
          <w:p>
            <w:pPr>
              <w:spacing w:line="240" w:lineRule="atLeast"/>
              <w:jc w:val="center"/>
              <w:rPr>
                <w:rFonts w:ascii="宋体" w:hAnsi="宋体" w:eastAsia="宋体" w:cs="宋体"/>
                <w:szCs w:val="21"/>
                <w:highlight w:val="none"/>
              </w:rPr>
            </w:pPr>
            <w:r>
              <w:rPr>
                <w:rFonts w:hint="eastAsia" w:ascii="宋体" w:hAnsi="宋体" w:eastAsia="宋体" w:cs="宋体"/>
                <w:szCs w:val="21"/>
                <w:highlight w:val="none"/>
              </w:rPr>
              <w:t>品目名称</w:t>
            </w:r>
          </w:p>
        </w:tc>
        <w:tc>
          <w:tcPr>
            <w:tcW w:w="3094" w:type="dxa"/>
            <w:gridSpan w:val="2"/>
            <w:noWrap w:val="0"/>
            <w:vAlign w:val="center"/>
          </w:tcPr>
          <w:p>
            <w:pPr>
              <w:spacing w:line="240" w:lineRule="atLeast"/>
              <w:jc w:val="center"/>
              <w:rPr>
                <w:rFonts w:ascii="宋体" w:hAnsi="宋体" w:eastAsia="宋体" w:cs="宋体"/>
                <w:szCs w:val="21"/>
                <w:highlight w:val="none"/>
              </w:rPr>
            </w:pPr>
            <w:r>
              <w:rPr>
                <w:rFonts w:hint="eastAsia" w:ascii="宋体" w:hAnsi="宋体" w:eastAsia="宋体" w:cs="宋体"/>
                <w:szCs w:val="21"/>
                <w:highlight w:val="none"/>
              </w:rPr>
              <w:t>规格型号及参数</w:t>
            </w:r>
          </w:p>
        </w:tc>
        <w:tc>
          <w:tcPr>
            <w:tcW w:w="1577" w:type="dxa"/>
            <w:vMerge w:val="restart"/>
            <w:noWrap w:val="0"/>
            <w:vAlign w:val="center"/>
          </w:tcPr>
          <w:p>
            <w:pPr>
              <w:spacing w:line="240" w:lineRule="atLeast"/>
              <w:jc w:val="center"/>
              <w:rPr>
                <w:rFonts w:ascii="宋体" w:hAnsi="宋体" w:eastAsia="宋体" w:cs="宋体"/>
                <w:szCs w:val="21"/>
                <w:highlight w:val="none"/>
              </w:rPr>
            </w:pPr>
            <w:r>
              <w:rPr>
                <w:rFonts w:hint="eastAsia" w:ascii="宋体" w:hAnsi="宋体" w:eastAsia="宋体" w:cs="宋体"/>
                <w:szCs w:val="21"/>
                <w:highlight w:val="none"/>
              </w:rPr>
              <w:t>是否响应</w:t>
            </w:r>
          </w:p>
        </w:tc>
        <w:tc>
          <w:tcPr>
            <w:tcW w:w="1962" w:type="dxa"/>
            <w:vMerge w:val="restart"/>
            <w:noWrap w:val="0"/>
            <w:vAlign w:val="center"/>
          </w:tcPr>
          <w:p>
            <w:pPr>
              <w:spacing w:line="240" w:lineRule="atLeast"/>
              <w:jc w:val="center"/>
              <w:rPr>
                <w:rFonts w:ascii="宋体" w:hAnsi="宋体" w:eastAsia="宋体" w:cs="宋体"/>
                <w:szCs w:val="21"/>
                <w:highlight w:val="none"/>
              </w:rPr>
            </w:pPr>
            <w:r>
              <w:rPr>
                <w:rFonts w:hint="eastAsia" w:ascii="宋体" w:hAnsi="宋体" w:eastAsia="宋体" w:cs="宋体"/>
                <w:szCs w:val="21"/>
                <w:highlight w:val="none"/>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5" w:type="dxa"/>
            <w:vMerge w:val="continue"/>
            <w:noWrap w:val="0"/>
            <w:vAlign w:val="top"/>
          </w:tcPr>
          <w:p>
            <w:pPr>
              <w:spacing w:line="240" w:lineRule="atLeast"/>
              <w:ind w:firstLine="105" w:firstLineChars="50"/>
              <w:rPr>
                <w:rFonts w:hint="eastAsia" w:ascii="宋体" w:hAnsi="宋体" w:eastAsia="宋体" w:cs="宋体"/>
                <w:szCs w:val="21"/>
                <w:highlight w:val="none"/>
              </w:rPr>
            </w:pPr>
          </w:p>
        </w:tc>
        <w:tc>
          <w:tcPr>
            <w:tcW w:w="1421" w:type="dxa"/>
            <w:vMerge w:val="continue"/>
            <w:noWrap w:val="0"/>
            <w:vAlign w:val="top"/>
          </w:tcPr>
          <w:p>
            <w:pPr>
              <w:spacing w:line="240" w:lineRule="atLeast"/>
              <w:jc w:val="center"/>
              <w:rPr>
                <w:rFonts w:hint="eastAsia" w:ascii="宋体" w:hAnsi="宋体" w:eastAsia="宋体" w:cs="宋体"/>
                <w:szCs w:val="21"/>
                <w:highlight w:val="none"/>
              </w:rPr>
            </w:pPr>
          </w:p>
        </w:tc>
        <w:tc>
          <w:tcPr>
            <w:tcW w:w="1539" w:type="dxa"/>
            <w:noWrap w:val="0"/>
            <w:vAlign w:val="top"/>
          </w:tcPr>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招标要求规格型号技术参数</w:t>
            </w:r>
          </w:p>
        </w:tc>
        <w:tc>
          <w:tcPr>
            <w:tcW w:w="1555" w:type="dxa"/>
            <w:noWrap w:val="0"/>
            <w:vAlign w:val="top"/>
          </w:tcPr>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投标规格型号技术参数</w:t>
            </w:r>
          </w:p>
        </w:tc>
        <w:tc>
          <w:tcPr>
            <w:tcW w:w="1577" w:type="dxa"/>
            <w:vMerge w:val="continue"/>
            <w:noWrap w:val="0"/>
            <w:vAlign w:val="top"/>
          </w:tcPr>
          <w:p>
            <w:pPr>
              <w:spacing w:line="240" w:lineRule="atLeast"/>
              <w:jc w:val="center"/>
              <w:rPr>
                <w:rFonts w:hint="eastAsia" w:ascii="宋体" w:hAnsi="宋体" w:eastAsia="宋体" w:cs="宋体"/>
                <w:szCs w:val="21"/>
                <w:highlight w:val="none"/>
              </w:rPr>
            </w:pPr>
          </w:p>
        </w:tc>
        <w:tc>
          <w:tcPr>
            <w:tcW w:w="1962" w:type="dxa"/>
            <w:vMerge w:val="continue"/>
            <w:noWrap w:val="0"/>
            <w:vAlign w:val="top"/>
          </w:tcPr>
          <w:p>
            <w:pPr>
              <w:spacing w:line="240" w:lineRule="atLeas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5" w:type="dxa"/>
            <w:shd w:val="clear" w:color="auto" w:fill="auto"/>
            <w:noWrap w:val="0"/>
            <w:vAlign w:val="center"/>
          </w:tcPr>
          <w:p>
            <w:pPr>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1421" w:type="dxa"/>
            <w:shd w:val="clear" w:color="auto" w:fill="FFFFFF"/>
            <w:noWrap w:val="0"/>
            <w:vAlign w:val="center"/>
          </w:tcPr>
          <w:p>
            <w:pPr>
              <w:widowControl/>
              <w:spacing w:line="360" w:lineRule="auto"/>
              <w:jc w:val="center"/>
              <w:textAlignment w:val="center"/>
              <w:rPr>
                <w:rFonts w:hint="eastAsia" w:ascii="宋体" w:hAnsi="宋体" w:eastAsia="宋体" w:cs="Times New Roman"/>
                <w:szCs w:val="21"/>
                <w:highlight w:val="none"/>
              </w:rPr>
            </w:pPr>
          </w:p>
        </w:tc>
        <w:tc>
          <w:tcPr>
            <w:tcW w:w="1539" w:type="dxa"/>
            <w:noWrap w:val="0"/>
            <w:vAlign w:val="center"/>
          </w:tcPr>
          <w:p>
            <w:pPr>
              <w:ind w:firstLine="630" w:firstLineChars="300"/>
              <w:jc w:val="center"/>
              <w:rPr>
                <w:rFonts w:hint="eastAsia" w:ascii="宋体" w:hAnsi="宋体" w:eastAsia="宋体" w:cs="Times New Roman"/>
                <w:szCs w:val="21"/>
                <w:highlight w:val="none"/>
              </w:rPr>
            </w:pPr>
          </w:p>
        </w:tc>
        <w:tc>
          <w:tcPr>
            <w:tcW w:w="1555" w:type="dxa"/>
            <w:noWrap w:val="0"/>
            <w:vAlign w:val="center"/>
          </w:tcPr>
          <w:p>
            <w:pPr>
              <w:ind w:firstLine="630" w:firstLineChars="300"/>
              <w:jc w:val="center"/>
              <w:rPr>
                <w:rFonts w:hint="eastAsia" w:ascii="宋体" w:hAnsi="宋体" w:eastAsia="宋体" w:cs="Times New Roman"/>
                <w:szCs w:val="21"/>
                <w:highlight w:val="none"/>
              </w:rPr>
            </w:pPr>
          </w:p>
        </w:tc>
        <w:tc>
          <w:tcPr>
            <w:tcW w:w="1577" w:type="dxa"/>
            <w:noWrap w:val="0"/>
            <w:vAlign w:val="center"/>
          </w:tcPr>
          <w:p>
            <w:pPr>
              <w:jc w:val="center"/>
              <w:rPr>
                <w:rFonts w:hint="eastAsia" w:ascii="宋体" w:hAnsi="宋体" w:eastAsia="宋体" w:cs="Times New Roman"/>
                <w:szCs w:val="21"/>
                <w:highlight w:val="none"/>
              </w:rPr>
            </w:pPr>
            <w:r>
              <w:rPr>
                <w:rFonts w:hint="eastAsia" w:ascii="宋体" w:hAnsi="宋体" w:eastAsia="宋体" w:cs="宋体"/>
                <w:szCs w:val="21"/>
                <w:highlight w:val="none"/>
              </w:rPr>
              <w:t>是/否</w:t>
            </w:r>
          </w:p>
        </w:tc>
        <w:tc>
          <w:tcPr>
            <w:tcW w:w="1962" w:type="dxa"/>
            <w:noWrap w:val="0"/>
            <w:vAlign w:val="center"/>
          </w:tcPr>
          <w:p>
            <w:pPr>
              <w:jc w:val="center"/>
              <w:rPr>
                <w:rFonts w:hint="eastAsia"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5" w:type="dxa"/>
            <w:shd w:val="clear" w:color="auto" w:fill="auto"/>
            <w:noWrap w:val="0"/>
            <w:vAlign w:val="center"/>
          </w:tcPr>
          <w:p>
            <w:pPr>
              <w:jc w:val="center"/>
              <w:rPr>
                <w:rFonts w:hint="eastAsia" w:ascii="宋体" w:hAnsi="宋体" w:eastAsia="宋体" w:cs="Times New Roman"/>
                <w:szCs w:val="21"/>
                <w:highlight w:val="none"/>
              </w:rPr>
            </w:pPr>
            <w:r>
              <w:rPr>
                <w:rFonts w:hint="eastAsia" w:ascii="宋体" w:hAnsi="宋体" w:eastAsia="宋体" w:cs="Times New Roman"/>
                <w:szCs w:val="21"/>
                <w:highlight w:val="none"/>
              </w:rPr>
              <w:t>2</w:t>
            </w:r>
          </w:p>
        </w:tc>
        <w:tc>
          <w:tcPr>
            <w:tcW w:w="1421" w:type="dxa"/>
            <w:shd w:val="clear" w:color="auto" w:fill="FFFFFF"/>
            <w:noWrap w:val="0"/>
            <w:vAlign w:val="center"/>
          </w:tcPr>
          <w:p>
            <w:pPr>
              <w:widowControl/>
              <w:spacing w:line="360" w:lineRule="auto"/>
              <w:jc w:val="center"/>
              <w:textAlignment w:val="center"/>
              <w:rPr>
                <w:rFonts w:hint="eastAsia" w:ascii="宋体" w:hAnsi="宋体" w:eastAsia="宋体" w:cs="Times New Roman"/>
                <w:sz w:val="24"/>
                <w:highlight w:val="none"/>
              </w:rPr>
            </w:pPr>
          </w:p>
        </w:tc>
        <w:tc>
          <w:tcPr>
            <w:tcW w:w="1539" w:type="dxa"/>
            <w:noWrap w:val="0"/>
            <w:vAlign w:val="center"/>
          </w:tcPr>
          <w:p>
            <w:pPr>
              <w:ind w:firstLine="630" w:firstLineChars="300"/>
              <w:jc w:val="center"/>
              <w:rPr>
                <w:rFonts w:hint="eastAsia" w:ascii="宋体" w:hAnsi="宋体" w:eastAsia="宋体" w:cs="Times New Roman"/>
                <w:szCs w:val="21"/>
                <w:highlight w:val="none"/>
              </w:rPr>
            </w:pPr>
          </w:p>
        </w:tc>
        <w:tc>
          <w:tcPr>
            <w:tcW w:w="1555" w:type="dxa"/>
            <w:noWrap w:val="0"/>
            <w:vAlign w:val="center"/>
          </w:tcPr>
          <w:p>
            <w:pPr>
              <w:ind w:firstLine="630" w:firstLineChars="300"/>
              <w:jc w:val="center"/>
              <w:rPr>
                <w:rFonts w:hint="eastAsia" w:ascii="宋体" w:hAnsi="宋体" w:eastAsia="宋体" w:cs="Times New Roman"/>
                <w:szCs w:val="21"/>
                <w:highlight w:val="none"/>
              </w:rPr>
            </w:pPr>
          </w:p>
        </w:tc>
        <w:tc>
          <w:tcPr>
            <w:tcW w:w="1577" w:type="dxa"/>
            <w:noWrap w:val="0"/>
            <w:vAlign w:val="center"/>
          </w:tcPr>
          <w:p>
            <w:pPr>
              <w:jc w:val="center"/>
              <w:rPr>
                <w:rFonts w:ascii="Times New Roman" w:hAnsi="Times New Roman" w:eastAsia="宋体" w:cs="Times New Roman"/>
                <w:highlight w:val="none"/>
              </w:rPr>
            </w:pPr>
            <w:r>
              <w:rPr>
                <w:rFonts w:hint="eastAsia" w:ascii="宋体" w:hAnsi="宋体" w:eastAsia="宋体" w:cs="宋体"/>
                <w:szCs w:val="21"/>
                <w:highlight w:val="none"/>
              </w:rPr>
              <w:t>是/否</w:t>
            </w:r>
          </w:p>
        </w:tc>
        <w:tc>
          <w:tcPr>
            <w:tcW w:w="1962" w:type="dxa"/>
            <w:noWrap w:val="0"/>
            <w:vAlign w:val="center"/>
          </w:tcPr>
          <w:p>
            <w:pPr>
              <w:jc w:val="center"/>
              <w:rPr>
                <w:rFonts w:hint="eastAsia"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5" w:type="dxa"/>
            <w:shd w:val="clear" w:color="auto" w:fill="auto"/>
            <w:noWrap w:val="0"/>
            <w:vAlign w:val="center"/>
          </w:tcPr>
          <w:p>
            <w:pPr>
              <w:jc w:val="center"/>
              <w:rPr>
                <w:rFonts w:hint="eastAsia" w:ascii="宋体" w:hAnsi="宋体" w:eastAsia="宋体" w:cs="Times New Roman"/>
                <w:szCs w:val="21"/>
                <w:highlight w:val="none"/>
              </w:rPr>
            </w:pPr>
            <w:r>
              <w:rPr>
                <w:rFonts w:ascii="宋体" w:hAnsi="宋体" w:eastAsia="宋体" w:cs="Times New Roman"/>
                <w:szCs w:val="21"/>
                <w:highlight w:val="none"/>
              </w:rPr>
              <w:t>…</w:t>
            </w:r>
          </w:p>
        </w:tc>
        <w:tc>
          <w:tcPr>
            <w:tcW w:w="1421" w:type="dxa"/>
            <w:shd w:val="clear" w:color="auto" w:fill="FFFFFF"/>
            <w:noWrap w:val="0"/>
            <w:vAlign w:val="center"/>
          </w:tcPr>
          <w:p>
            <w:pPr>
              <w:widowControl/>
              <w:spacing w:line="360" w:lineRule="auto"/>
              <w:jc w:val="center"/>
              <w:textAlignment w:val="center"/>
              <w:rPr>
                <w:rFonts w:hint="eastAsia" w:ascii="宋体" w:hAnsi="宋体" w:eastAsia="宋体" w:cs="Times New Roman"/>
                <w:sz w:val="24"/>
                <w:highlight w:val="none"/>
              </w:rPr>
            </w:pPr>
          </w:p>
        </w:tc>
        <w:tc>
          <w:tcPr>
            <w:tcW w:w="1539" w:type="dxa"/>
            <w:noWrap w:val="0"/>
            <w:vAlign w:val="center"/>
          </w:tcPr>
          <w:p>
            <w:pPr>
              <w:ind w:firstLine="630" w:firstLineChars="300"/>
              <w:jc w:val="center"/>
              <w:rPr>
                <w:rFonts w:hint="eastAsia" w:ascii="宋体" w:hAnsi="宋体" w:eastAsia="宋体" w:cs="Times New Roman"/>
                <w:szCs w:val="21"/>
                <w:highlight w:val="none"/>
              </w:rPr>
            </w:pPr>
          </w:p>
        </w:tc>
        <w:tc>
          <w:tcPr>
            <w:tcW w:w="1555" w:type="dxa"/>
            <w:noWrap w:val="0"/>
            <w:vAlign w:val="center"/>
          </w:tcPr>
          <w:p>
            <w:pPr>
              <w:ind w:firstLine="630" w:firstLineChars="300"/>
              <w:jc w:val="center"/>
              <w:rPr>
                <w:rFonts w:hint="eastAsia" w:ascii="宋体" w:hAnsi="宋体" w:eastAsia="宋体" w:cs="Times New Roman"/>
                <w:szCs w:val="21"/>
                <w:highlight w:val="none"/>
              </w:rPr>
            </w:pPr>
          </w:p>
        </w:tc>
        <w:tc>
          <w:tcPr>
            <w:tcW w:w="1577" w:type="dxa"/>
            <w:noWrap w:val="0"/>
            <w:vAlign w:val="center"/>
          </w:tcPr>
          <w:p>
            <w:pPr>
              <w:jc w:val="center"/>
              <w:rPr>
                <w:rFonts w:hint="eastAsia" w:ascii="宋体" w:hAnsi="宋体" w:eastAsia="宋体" w:cs="宋体"/>
                <w:szCs w:val="21"/>
                <w:highlight w:val="none"/>
              </w:rPr>
            </w:pPr>
            <w:r>
              <w:rPr>
                <w:rFonts w:ascii="宋体" w:hAnsi="宋体" w:eastAsia="宋体" w:cs="宋体"/>
                <w:szCs w:val="21"/>
                <w:highlight w:val="none"/>
              </w:rPr>
              <w:t>…</w:t>
            </w:r>
          </w:p>
        </w:tc>
        <w:tc>
          <w:tcPr>
            <w:tcW w:w="1962" w:type="dxa"/>
            <w:noWrap w:val="0"/>
            <w:vAlign w:val="center"/>
          </w:tcPr>
          <w:p>
            <w:pPr>
              <w:jc w:val="center"/>
              <w:rPr>
                <w:rFonts w:hint="eastAsia" w:ascii="宋体" w:hAnsi="宋体" w:eastAsia="宋体" w:cs="Times New Roman"/>
                <w:szCs w:val="21"/>
                <w:highlight w:val="none"/>
              </w:rPr>
            </w:pPr>
          </w:p>
        </w:tc>
      </w:tr>
    </w:tbl>
    <w:p>
      <w:pPr>
        <w:autoSpaceDE w:val="0"/>
        <w:autoSpaceDN w:val="0"/>
        <w:adjustRightInd w:val="0"/>
        <w:ind w:firstLine="422" w:firstLineChars="200"/>
        <w:rPr>
          <w:rFonts w:hint="eastAsia" w:ascii="宋体" w:hAnsi="宋体" w:eastAsia="宋体" w:cs="Times New Roman"/>
          <w:b/>
          <w:szCs w:val="21"/>
          <w:highlight w:val="none"/>
          <w:lang w:val="zh-CN"/>
        </w:rPr>
      </w:pPr>
      <w:r>
        <w:rPr>
          <w:rFonts w:hint="eastAsia" w:ascii="宋体" w:hAnsi="宋体" w:eastAsia="宋体" w:cs="Times New Roman"/>
          <w:b/>
          <w:szCs w:val="21"/>
          <w:highlight w:val="none"/>
          <w:lang w:val="zh-CN"/>
        </w:rPr>
        <w:t>注：</w:t>
      </w:r>
      <w:r>
        <w:rPr>
          <w:rFonts w:ascii="宋体" w:hAnsi="宋体" w:eastAsia="宋体" w:cs="Times New Roman"/>
          <w:b/>
          <w:szCs w:val="21"/>
          <w:highlight w:val="none"/>
          <w:lang w:val="zh-CN"/>
        </w:rPr>
        <w:t>1</w:t>
      </w:r>
      <w:r>
        <w:rPr>
          <w:rFonts w:hint="eastAsia" w:ascii="宋体" w:hAnsi="宋体" w:eastAsia="宋体" w:cs="Times New Roman"/>
          <w:b/>
          <w:szCs w:val="21"/>
          <w:highlight w:val="none"/>
          <w:lang w:val="zh-CN"/>
        </w:rPr>
        <w:t>.投标人应逐一说明投标产品和服务响应；</w:t>
      </w:r>
    </w:p>
    <w:p>
      <w:pPr>
        <w:autoSpaceDE w:val="0"/>
        <w:autoSpaceDN w:val="0"/>
        <w:adjustRightInd w:val="0"/>
        <w:ind w:firstLine="420" w:firstLineChars="200"/>
        <w:rPr>
          <w:rFonts w:ascii="宋体" w:hAnsi="Times New Roman" w:eastAsia="宋体" w:cs="宋体"/>
          <w:szCs w:val="21"/>
          <w:highlight w:val="none"/>
          <w:lang w:val="zh-CN"/>
        </w:rPr>
      </w:pPr>
      <w:r>
        <w:rPr>
          <w:rFonts w:ascii="宋体" w:hAnsi="宋体" w:eastAsia="宋体" w:cs="宋体"/>
          <w:szCs w:val="21"/>
          <w:highlight w:val="none"/>
          <w:lang w:val="zh-CN"/>
        </w:rPr>
        <w:t>2</w:t>
      </w:r>
      <w:r>
        <w:rPr>
          <w:rFonts w:hint="eastAsia" w:ascii="宋体" w:hAnsi="宋体" w:eastAsia="宋体" w:cs="宋体"/>
          <w:szCs w:val="21"/>
          <w:highlight w:val="none"/>
          <w:lang w:val="zh-CN"/>
        </w:rPr>
        <w:t>.如果行数不够，请自行增加。</w:t>
      </w:r>
    </w:p>
    <w:p>
      <w:pPr>
        <w:spacing w:line="480" w:lineRule="auto"/>
        <w:ind w:firstLine="480" w:firstLineChars="200"/>
        <w:rPr>
          <w:rFonts w:hint="eastAsia" w:ascii="宋体" w:hAnsi="宋体" w:eastAsia="宋体" w:cs="Times New Roman"/>
          <w:sz w:val="24"/>
          <w:highlight w:val="none"/>
        </w:rPr>
      </w:pPr>
    </w:p>
    <w:p>
      <w:pPr>
        <w:spacing w:line="48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投标人名称：</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w:t>
      </w:r>
      <w:r>
        <w:rPr>
          <w:rFonts w:hint="eastAsia" w:ascii="宋体" w:hAnsi="宋体" w:eastAsia="宋体" w:cs="Times New Roman"/>
          <w:sz w:val="24"/>
          <w:szCs w:val="21"/>
          <w:highlight w:val="none"/>
          <w:lang w:eastAsia="zh-CN"/>
        </w:rPr>
        <w:t>盖章</w:t>
      </w:r>
      <w:r>
        <w:rPr>
          <w:rFonts w:hint="eastAsia" w:ascii="宋体" w:hAnsi="宋体" w:eastAsia="宋体" w:cs="Times New Roman"/>
          <w:szCs w:val="21"/>
          <w:highlight w:val="none"/>
        </w:rPr>
        <w:t>）</w:t>
      </w:r>
    </w:p>
    <w:p>
      <w:pPr>
        <w:pStyle w:val="2"/>
        <w:numPr>
          <w:ilvl w:val="0"/>
          <w:numId w:val="0"/>
        </w:numPr>
        <w:rPr>
          <w:rFonts w:hint="eastAsia"/>
          <w:lang w:eastAsia="zh-CN"/>
        </w:rPr>
      </w:pPr>
      <w:r>
        <w:rPr>
          <w:rFonts w:hint="eastAsia" w:ascii="宋体" w:hAnsi="宋体" w:eastAsia="宋体" w:cs="Times New Roman"/>
          <w:szCs w:val="21"/>
          <w:highlight w:val="none"/>
        </w:rPr>
        <w:t>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签字或盖章</w:t>
      </w:r>
      <w:r>
        <w:rPr>
          <w:rFonts w:hint="eastAsia" w:ascii="宋体" w:hAnsi="宋体" w:eastAsia="宋体" w:cs="Times New Roman"/>
          <w:szCs w:val="21"/>
          <w:highlight w:val="none"/>
        </w:rPr>
        <w:t>)</w:t>
      </w:r>
    </w:p>
    <w:p>
      <w:pPr>
        <w:pageBreakBefore/>
        <w:spacing w:before="156" w:beforeLines="50" w:after="156" w:afterLines="50"/>
        <w:jc w:val="center"/>
        <w:rPr>
          <w:rFonts w:hint="eastAsia" w:ascii="宋体" w:hAnsi="宋体" w:cs="宋体"/>
          <w:b/>
          <w:bCs/>
          <w:color w:val="000000"/>
          <w:kern w:val="0"/>
          <w:sz w:val="32"/>
          <w:szCs w:val="32"/>
          <w:highlight w:val="none"/>
        </w:rPr>
      </w:pPr>
      <w:r>
        <w:rPr>
          <w:rFonts w:hint="eastAsia" w:ascii="宋体" w:hAnsi="宋体" w:cs="宋体"/>
          <w:b/>
          <w:bCs/>
          <w:color w:val="000000"/>
          <w:kern w:val="0"/>
          <w:sz w:val="32"/>
          <w:szCs w:val="32"/>
          <w:highlight w:val="none"/>
          <w:lang w:eastAsia="zh-CN"/>
        </w:rPr>
        <w:t>（</w:t>
      </w:r>
      <w:r>
        <w:rPr>
          <w:rFonts w:hint="eastAsia" w:ascii="宋体" w:hAnsi="宋体" w:cs="宋体"/>
          <w:b/>
          <w:bCs/>
          <w:color w:val="000000"/>
          <w:kern w:val="0"/>
          <w:sz w:val="32"/>
          <w:szCs w:val="32"/>
          <w:highlight w:val="none"/>
          <w:lang w:val="en-US" w:eastAsia="zh-CN"/>
        </w:rPr>
        <w:t>5</w:t>
      </w:r>
      <w:r>
        <w:rPr>
          <w:rFonts w:hint="eastAsia" w:ascii="宋体" w:hAnsi="宋体" w:cs="宋体"/>
          <w:b/>
          <w:bCs/>
          <w:color w:val="000000"/>
          <w:kern w:val="0"/>
          <w:sz w:val="32"/>
          <w:szCs w:val="32"/>
          <w:highlight w:val="none"/>
          <w:lang w:eastAsia="zh-CN"/>
        </w:rPr>
        <w:t>）</w:t>
      </w:r>
      <w:r>
        <w:rPr>
          <w:rFonts w:hint="eastAsia" w:ascii="宋体" w:hAnsi="宋体" w:cs="宋体"/>
          <w:b/>
          <w:bCs/>
          <w:color w:val="000000"/>
          <w:kern w:val="0"/>
          <w:sz w:val="32"/>
          <w:szCs w:val="32"/>
          <w:highlight w:val="none"/>
        </w:rPr>
        <w:t>服务承诺书</w:t>
      </w:r>
    </w:p>
    <w:p>
      <w:pPr>
        <w:ind w:firstLine="480" w:firstLineChars="200"/>
        <w:rPr>
          <w:rFonts w:hint="eastAsia" w:ascii="宋体" w:hAnsi="宋体" w:cs="宋体"/>
          <w:sz w:val="24"/>
          <w:highlight w:val="none"/>
        </w:rPr>
      </w:pPr>
    </w:p>
    <w:p>
      <w:pPr>
        <w:spacing w:line="600" w:lineRule="exact"/>
        <w:ind w:firstLine="480" w:firstLineChars="200"/>
        <w:rPr>
          <w:rFonts w:hint="eastAsia" w:ascii="宋体" w:hAnsi="宋体" w:cs="宋体"/>
          <w:b/>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（采购人）     ：</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本承诺声明：</w:t>
      </w:r>
      <w:r>
        <w:rPr>
          <w:rFonts w:hint="eastAsia" w:ascii="宋体" w:hAnsi="宋体" w:cs="宋体"/>
          <w:sz w:val="24"/>
          <w:highlight w:val="none"/>
          <w:u w:val="single"/>
        </w:rPr>
        <w:t xml:space="preserve">                        （投标人名称）</w:t>
      </w:r>
      <w:r>
        <w:rPr>
          <w:rFonts w:hint="eastAsia" w:ascii="宋体" w:hAnsi="宋体" w:cs="宋体"/>
          <w:sz w:val="24"/>
          <w:highlight w:val="none"/>
        </w:rPr>
        <w:t>对本谈判文件的相关要求及技术参数</w:t>
      </w:r>
      <w:r>
        <w:rPr>
          <w:rFonts w:hint="eastAsia" w:ascii="宋体" w:hAnsi="宋体" w:cs="宋体"/>
          <w:sz w:val="24"/>
          <w:highlight w:val="none"/>
          <w:u w:val="single"/>
        </w:rPr>
        <w:t xml:space="preserve">       （完全响应）</w:t>
      </w:r>
      <w:r>
        <w:rPr>
          <w:rFonts w:hint="eastAsia" w:ascii="宋体" w:hAnsi="宋体" w:cs="宋体"/>
          <w:sz w:val="24"/>
          <w:highlight w:val="none"/>
        </w:rPr>
        <w:t>。若有幸中标将严格按照以上承诺进行服务。</w:t>
      </w:r>
    </w:p>
    <w:p>
      <w:pPr>
        <w:spacing w:line="600" w:lineRule="exact"/>
        <w:rPr>
          <w:rFonts w:hint="eastAsia" w:ascii="宋体" w:hAnsi="宋体" w:cs="宋体"/>
          <w:sz w:val="24"/>
          <w:highlight w:val="none"/>
        </w:rPr>
      </w:pPr>
    </w:p>
    <w:p>
      <w:pPr>
        <w:spacing w:line="600" w:lineRule="exact"/>
        <w:rPr>
          <w:rFonts w:hint="eastAsia" w:ascii="宋体" w:hAnsi="宋体" w:cs="宋体"/>
          <w:sz w:val="24"/>
          <w:highlight w:val="none"/>
        </w:rPr>
      </w:pPr>
      <w:r>
        <w:rPr>
          <w:rFonts w:hint="eastAsia" w:ascii="宋体" w:hAnsi="宋体" w:cs="宋体"/>
          <w:sz w:val="24"/>
          <w:highlight w:val="none"/>
        </w:rPr>
        <w:t>特此声明</w:t>
      </w:r>
    </w:p>
    <w:p>
      <w:pPr>
        <w:spacing w:line="600" w:lineRule="exact"/>
        <w:rPr>
          <w:rFonts w:hint="eastAsia" w:ascii="宋体" w:hAnsi="宋体" w:cs="宋体"/>
          <w:sz w:val="24"/>
          <w:highlight w:val="none"/>
        </w:rPr>
      </w:pPr>
    </w:p>
    <w:p>
      <w:pPr>
        <w:spacing w:line="600" w:lineRule="exact"/>
        <w:rPr>
          <w:rFonts w:hint="eastAsia" w:ascii="宋体" w:hAnsi="宋体" w:cs="宋体"/>
          <w:sz w:val="24"/>
          <w:highlight w:val="none"/>
        </w:rPr>
      </w:pPr>
      <w:r>
        <w:rPr>
          <w:rFonts w:hint="eastAsia" w:ascii="宋体" w:hAnsi="宋体" w:cs="宋体"/>
          <w:sz w:val="24"/>
          <w:highlight w:val="none"/>
        </w:rPr>
        <w:t xml:space="preserve">          法定代表人或代理人（被授权人）：</w:t>
      </w:r>
      <w:r>
        <w:rPr>
          <w:rFonts w:hint="eastAsia" w:ascii="宋体" w:hAnsi="宋体" w:cs="宋体"/>
          <w:sz w:val="24"/>
          <w:highlight w:val="none"/>
          <w:u w:val="single"/>
        </w:rPr>
        <w:t xml:space="preserve">                （签字或盖章）          </w:t>
      </w:r>
    </w:p>
    <w:p>
      <w:pPr>
        <w:spacing w:line="600" w:lineRule="exact"/>
        <w:rPr>
          <w:rFonts w:hint="eastAsia" w:ascii="宋体" w:hAnsi="宋体" w:cs="宋体"/>
          <w:sz w:val="24"/>
          <w:highlight w:val="none"/>
        </w:rPr>
      </w:pPr>
      <w:r>
        <w:rPr>
          <w:rFonts w:hint="eastAsia" w:ascii="宋体" w:hAnsi="宋体" w:cs="宋体"/>
          <w:sz w:val="24"/>
          <w:highlight w:val="none"/>
        </w:rPr>
        <w:t xml:space="preserve">                                    投标单位名称：</w:t>
      </w:r>
      <w:r>
        <w:rPr>
          <w:rFonts w:hint="eastAsia" w:ascii="宋体" w:hAnsi="宋体" w:cs="宋体"/>
          <w:sz w:val="24"/>
          <w:highlight w:val="none"/>
          <w:u w:val="single"/>
        </w:rPr>
        <w:t xml:space="preserve">        （公章）          </w:t>
      </w:r>
    </w:p>
    <w:p>
      <w:pPr>
        <w:spacing w:line="600" w:lineRule="exact"/>
        <w:ind w:firstLine="4680" w:firstLineChars="1950"/>
        <w:rPr>
          <w:rFonts w:hint="eastAsia" w:ascii="宋体" w:hAnsi="宋体" w:cs="宋体"/>
          <w:sz w:val="24"/>
          <w:highlight w:val="none"/>
          <w:u w:val="single"/>
        </w:rPr>
      </w:pPr>
      <w:r>
        <w:rPr>
          <w:rFonts w:hint="eastAsia" w:ascii="宋体" w:hAnsi="宋体" w:cs="宋体"/>
          <w:sz w:val="24"/>
          <w:highlight w:val="none"/>
        </w:rPr>
        <w:t>日    期：</w:t>
      </w:r>
    </w:p>
    <w:p>
      <w:pPr>
        <w:ind w:right="-178" w:rightChars="-85"/>
        <w:jc w:val="center"/>
        <w:rPr>
          <w:rFonts w:hint="eastAsia" w:ascii="宋体" w:hAnsi="宋体" w:cs="宋体"/>
          <w:b/>
          <w:color w:val="auto"/>
          <w:sz w:val="32"/>
          <w:szCs w:val="32"/>
          <w:highlight w:val="none"/>
        </w:rPr>
      </w:pPr>
    </w:p>
    <w:p>
      <w:pPr>
        <w:pStyle w:val="7"/>
        <w:rPr>
          <w:rFonts w:hint="eastAsia"/>
          <w:highlight w:val="none"/>
        </w:rPr>
      </w:pPr>
    </w:p>
    <w:p>
      <w:pPr>
        <w:ind w:right="-178" w:rightChars="-8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6</w:t>
      </w:r>
      <w:r>
        <w:rPr>
          <w:rFonts w:hint="eastAsia" w:ascii="宋体" w:hAnsi="宋体" w:cs="宋体"/>
          <w:b/>
          <w:color w:val="auto"/>
          <w:sz w:val="32"/>
          <w:szCs w:val="32"/>
          <w:highlight w:val="none"/>
        </w:rPr>
        <w:t>）详细评审所需其他材料（如有）</w:t>
      </w:r>
    </w:p>
    <w:p>
      <w:pPr>
        <w:rPr>
          <w:rFonts w:hint="eastAsia" w:ascii="宋体" w:hAnsi="宋体" w:cs="宋体"/>
          <w:b/>
          <w:color w:val="auto"/>
          <w:sz w:val="24"/>
          <w:highlight w:val="none"/>
        </w:rPr>
      </w:pPr>
    </w:p>
    <w:p>
      <w:pPr>
        <w:keepNext w:val="0"/>
        <w:keepLines w:val="0"/>
        <w:pageBreakBefore/>
        <w:widowControl w:val="0"/>
        <w:kinsoku/>
        <w:wordWrap/>
        <w:overflowPunct/>
        <w:topLinePunct w:val="0"/>
        <w:autoSpaceDE/>
        <w:autoSpaceDN/>
        <w:bidi w:val="0"/>
        <w:adjustRightInd/>
        <w:snapToGrid w:val="0"/>
        <w:jc w:val="center"/>
        <w:textAlignment w:val="auto"/>
        <w:rPr>
          <w:rFonts w:ascii="黑体" w:hAnsi="黑体" w:eastAsia="黑体" w:cs="Arial"/>
          <w:b/>
          <w:bCs/>
          <w:color w:val="auto"/>
          <w:sz w:val="32"/>
          <w:szCs w:val="36"/>
          <w:highlight w:val="none"/>
        </w:rPr>
      </w:pPr>
      <w:r>
        <w:rPr>
          <w:rFonts w:hint="eastAsia" w:ascii="黑体" w:hAnsi="黑体" w:eastAsia="黑体" w:cs="Arial"/>
          <w:b/>
          <w:bCs/>
          <w:color w:val="auto"/>
          <w:sz w:val="36"/>
          <w:szCs w:val="36"/>
          <w:highlight w:val="none"/>
        </w:rPr>
        <w:t>竞争性谈判最终报价单</w:t>
      </w:r>
    </w:p>
    <w:tbl>
      <w:tblPr>
        <w:tblStyle w:val="23"/>
        <w:tblW w:w="8718" w:type="dxa"/>
        <w:jc w:val="center"/>
        <w:tblLayout w:type="fixed"/>
        <w:tblCellMar>
          <w:top w:w="0" w:type="dxa"/>
          <w:left w:w="108" w:type="dxa"/>
          <w:bottom w:w="0" w:type="dxa"/>
          <w:right w:w="108" w:type="dxa"/>
        </w:tblCellMar>
      </w:tblPr>
      <w:tblGrid>
        <w:gridCol w:w="812"/>
        <w:gridCol w:w="1943"/>
        <w:gridCol w:w="5963"/>
      </w:tblGrid>
      <w:tr>
        <w:tblPrEx>
          <w:tblCellMar>
            <w:top w:w="0" w:type="dxa"/>
            <w:left w:w="108" w:type="dxa"/>
            <w:bottom w:w="0" w:type="dxa"/>
            <w:right w:w="108" w:type="dxa"/>
          </w:tblCellMar>
        </w:tblPrEx>
        <w:trPr>
          <w:trHeight w:val="824"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序号</w:t>
            </w:r>
          </w:p>
        </w:tc>
        <w:tc>
          <w:tcPr>
            <w:tcW w:w="1943" w:type="dxa"/>
            <w:tcBorders>
              <w:top w:val="single" w:color="000000" w:sz="4" w:space="0"/>
              <w:left w:val="nil"/>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名称</w:t>
            </w:r>
          </w:p>
        </w:tc>
        <w:tc>
          <w:tcPr>
            <w:tcW w:w="5963" w:type="dxa"/>
            <w:tcBorders>
              <w:top w:val="single" w:color="000000" w:sz="4" w:space="0"/>
              <w:left w:val="nil"/>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事 项</w:t>
            </w:r>
          </w:p>
        </w:tc>
      </w:tr>
      <w:tr>
        <w:tblPrEx>
          <w:tblCellMar>
            <w:top w:w="0" w:type="dxa"/>
            <w:left w:w="108" w:type="dxa"/>
            <w:bottom w:w="0" w:type="dxa"/>
            <w:right w:w="108" w:type="dxa"/>
          </w:tblCellMar>
        </w:tblPrEx>
        <w:trPr>
          <w:trHeight w:val="824"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p>
        </w:tc>
        <w:tc>
          <w:tcPr>
            <w:tcW w:w="1943" w:type="dxa"/>
            <w:tcBorders>
              <w:top w:val="single" w:color="000000" w:sz="4" w:space="0"/>
              <w:left w:val="nil"/>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项目名称</w:t>
            </w:r>
          </w:p>
        </w:tc>
        <w:tc>
          <w:tcPr>
            <w:tcW w:w="5963" w:type="dxa"/>
            <w:tcBorders>
              <w:top w:val="single" w:color="000000" w:sz="4" w:space="0"/>
              <w:left w:val="nil"/>
              <w:bottom w:val="single" w:color="000000" w:sz="4" w:space="0"/>
              <w:right w:val="single" w:color="000000" w:sz="4" w:space="0"/>
            </w:tcBorders>
            <w:noWrap w:val="0"/>
            <w:vAlign w:val="center"/>
          </w:tcPr>
          <w:p>
            <w:pPr>
              <w:spacing w:line="440" w:lineRule="exact"/>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2024年滁州市妇幼保健计划生育服务中心新院区窗帘、纱窗采购项目</w:t>
            </w:r>
          </w:p>
        </w:tc>
      </w:tr>
      <w:tr>
        <w:tblPrEx>
          <w:tblCellMar>
            <w:top w:w="0" w:type="dxa"/>
            <w:left w:w="108" w:type="dxa"/>
            <w:bottom w:w="0" w:type="dxa"/>
            <w:right w:w="108" w:type="dxa"/>
          </w:tblCellMar>
        </w:tblPrEx>
        <w:trPr>
          <w:trHeight w:val="824"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val="en-US" w:eastAsia="zh-CN"/>
              </w:rPr>
              <w:t>2</w:t>
            </w:r>
          </w:p>
        </w:tc>
        <w:tc>
          <w:tcPr>
            <w:tcW w:w="1943" w:type="dxa"/>
            <w:tcBorders>
              <w:top w:val="single" w:color="000000" w:sz="4" w:space="0"/>
              <w:left w:val="nil"/>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报价次数</w:t>
            </w:r>
          </w:p>
        </w:tc>
        <w:tc>
          <w:tcPr>
            <w:tcW w:w="5963" w:type="dxa"/>
            <w:tcBorders>
              <w:top w:val="single" w:color="000000" w:sz="4" w:space="0"/>
              <w:left w:val="nil"/>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第</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u w:val="single"/>
                <w:lang w:eastAsia="zh-CN"/>
              </w:rPr>
              <w:t>二</w:t>
            </w:r>
            <w:r>
              <w:rPr>
                <w:rFonts w:hint="eastAsia" w:asciiTheme="majorEastAsia" w:hAnsiTheme="majorEastAsia" w:eastAsiaTheme="majorEastAsia" w:cstheme="majorEastAsia"/>
                <w:color w:val="auto"/>
                <w:sz w:val="28"/>
                <w:szCs w:val="28"/>
                <w:highlight w:val="none"/>
                <w:u w:val="single"/>
                <w:lang w:val="en-US" w:eastAsia="zh-CN"/>
              </w:rPr>
              <w:t xml:space="preserve"> </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次</w:t>
            </w:r>
          </w:p>
        </w:tc>
      </w:tr>
      <w:tr>
        <w:tblPrEx>
          <w:tblCellMar>
            <w:top w:w="0" w:type="dxa"/>
            <w:left w:w="108" w:type="dxa"/>
            <w:bottom w:w="0" w:type="dxa"/>
            <w:right w:w="108" w:type="dxa"/>
          </w:tblCellMar>
        </w:tblPrEx>
        <w:trPr>
          <w:trHeight w:val="824"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val="en-US" w:eastAsia="zh-CN"/>
              </w:rPr>
              <w:t>3</w:t>
            </w:r>
          </w:p>
        </w:tc>
        <w:tc>
          <w:tcPr>
            <w:tcW w:w="1943" w:type="dxa"/>
            <w:tcBorders>
              <w:top w:val="single" w:color="000000" w:sz="4" w:space="0"/>
              <w:left w:val="nil"/>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报价时间</w:t>
            </w:r>
          </w:p>
        </w:tc>
        <w:tc>
          <w:tcPr>
            <w:tcW w:w="5963" w:type="dxa"/>
            <w:tcBorders>
              <w:top w:val="single" w:color="000000" w:sz="4" w:space="0"/>
              <w:left w:val="nil"/>
              <w:bottom w:val="single" w:color="000000" w:sz="4" w:space="0"/>
              <w:right w:val="single" w:color="000000" w:sz="4" w:space="0"/>
            </w:tcBorders>
            <w:noWrap w:val="0"/>
            <w:vAlign w:val="center"/>
          </w:tcPr>
          <w:p>
            <w:pPr>
              <w:ind w:firstLine="840" w:firstLineChars="3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年</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月</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日</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时</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分</w:t>
            </w:r>
          </w:p>
        </w:tc>
      </w:tr>
      <w:tr>
        <w:tblPrEx>
          <w:tblCellMar>
            <w:top w:w="0" w:type="dxa"/>
            <w:left w:w="108" w:type="dxa"/>
            <w:bottom w:w="0" w:type="dxa"/>
            <w:right w:w="108" w:type="dxa"/>
          </w:tblCellMar>
        </w:tblPrEx>
        <w:trPr>
          <w:trHeight w:val="924" w:hRule="atLeast"/>
          <w:jc w:val="center"/>
        </w:trPr>
        <w:tc>
          <w:tcPr>
            <w:tcW w:w="812" w:type="dxa"/>
            <w:vMerge w:val="restart"/>
            <w:tcBorders>
              <w:top w:val="nil"/>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val="en-US" w:eastAsia="zh-CN"/>
              </w:rPr>
              <w:t>4</w:t>
            </w:r>
          </w:p>
        </w:tc>
        <w:tc>
          <w:tcPr>
            <w:tcW w:w="1943" w:type="dxa"/>
            <w:vMerge w:val="restart"/>
            <w:tcBorders>
              <w:top w:val="nil"/>
              <w:left w:val="nil"/>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总报价</w:t>
            </w:r>
          </w:p>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（人民币）</w:t>
            </w:r>
          </w:p>
        </w:tc>
        <w:tc>
          <w:tcPr>
            <w:tcW w:w="5963" w:type="dxa"/>
            <w:tcBorders>
              <w:top w:val="single" w:color="000000" w:sz="4" w:space="0"/>
              <w:left w:val="nil"/>
              <w:bottom w:val="single" w:color="000000" w:sz="4" w:space="0"/>
              <w:right w:val="single" w:color="000000" w:sz="4" w:space="0"/>
            </w:tcBorders>
            <w:noWrap w:val="0"/>
            <w:vAlign w:val="center"/>
          </w:tcPr>
          <w:p>
            <w:pPr>
              <w:ind w:right="64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（大写）：</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元</w:t>
            </w:r>
          </w:p>
        </w:tc>
      </w:tr>
      <w:tr>
        <w:tblPrEx>
          <w:tblCellMar>
            <w:top w:w="0" w:type="dxa"/>
            <w:left w:w="108" w:type="dxa"/>
            <w:bottom w:w="0" w:type="dxa"/>
            <w:right w:w="108" w:type="dxa"/>
          </w:tblCellMar>
        </w:tblPrEx>
        <w:trPr>
          <w:trHeight w:val="839" w:hRule="atLeast"/>
          <w:jc w:val="center"/>
        </w:trPr>
        <w:tc>
          <w:tcPr>
            <w:tcW w:w="812" w:type="dxa"/>
            <w:vMerge w:val="continue"/>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left"/>
              <w:rPr>
                <w:rFonts w:hint="eastAsia" w:asciiTheme="majorEastAsia" w:hAnsiTheme="majorEastAsia" w:eastAsiaTheme="majorEastAsia" w:cstheme="majorEastAsia"/>
                <w:color w:val="auto"/>
                <w:sz w:val="28"/>
                <w:szCs w:val="28"/>
                <w:highlight w:val="none"/>
              </w:rPr>
            </w:pPr>
          </w:p>
        </w:tc>
        <w:tc>
          <w:tcPr>
            <w:tcW w:w="1943" w:type="dxa"/>
            <w:vMerge w:val="continue"/>
            <w:tcBorders>
              <w:top w:val="nil"/>
              <w:left w:val="nil"/>
              <w:bottom w:val="single" w:color="000000" w:sz="4" w:space="0"/>
              <w:right w:val="single" w:color="000000" w:sz="4" w:space="0"/>
            </w:tcBorders>
            <w:noWrap w:val="0"/>
            <w:tcMar>
              <w:top w:w="0" w:type="dxa"/>
              <w:left w:w="0" w:type="dxa"/>
              <w:bottom w:w="0" w:type="dxa"/>
              <w:right w:w="0" w:type="dxa"/>
            </w:tcMar>
            <w:vAlign w:val="center"/>
          </w:tcPr>
          <w:p>
            <w:pPr>
              <w:jc w:val="left"/>
              <w:rPr>
                <w:rFonts w:hint="eastAsia" w:asciiTheme="majorEastAsia" w:hAnsiTheme="majorEastAsia" w:eastAsiaTheme="majorEastAsia" w:cstheme="majorEastAsia"/>
                <w:color w:val="auto"/>
                <w:sz w:val="28"/>
                <w:szCs w:val="28"/>
                <w:highlight w:val="none"/>
              </w:rPr>
            </w:pPr>
          </w:p>
        </w:tc>
        <w:tc>
          <w:tcPr>
            <w:tcW w:w="5963" w:type="dxa"/>
            <w:tcBorders>
              <w:top w:val="single" w:color="000000" w:sz="4" w:space="0"/>
              <w:left w:val="nil"/>
              <w:bottom w:val="single" w:color="000000" w:sz="4" w:space="0"/>
              <w:right w:val="single" w:color="000000" w:sz="4" w:space="0"/>
            </w:tcBorders>
            <w:noWrap w:val="0"/>
            <w:vAlign w:val="center"/>
          </w:tcPr>
          <w:p>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（小写）：</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元</w:t>
            </w:r>
          </w:p>
        </w:tc>
      </w:tr>
      <w:tr>
        <w:tblPrEx>
          <w:tblCellMar>
            <w:top w:w="0" w:type="dxa"/>
            <w:left w:w="108" w:type="dxa"/>
            <w:bottom w:w="0" w:type="dxa"/>
            <w:right w:w="108" w:type="dxa"/>
          </w:tblCellMar>
        </w:tblPrEx>
        <w:trPr>
          <w:trHeight w:val="1891"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val="en-US" w:eastAsia="zh-CN"/>
              </w:rPr>
              <w:t>5</w:t>
            </w:r>
          </w:p>
        </w:tc>
        <w:tc>
          <w:tcPr>
            <w:tcW w:w="7906" w:type="dxa"/>
            <w:gridSpan w:val="2"/>
            <w:tcBorders>
              <w:top w:val="single" w:color="000000" w:sz="4" w:space="0"/>
              <w:left w:val="nil"/>
              <w:bottom w:val="single" w:color="000000" w:sz="4" w:space="0"/>
              <w:right w:val="single" w:color="000000" w:sz="4" w:space="0"/>
            </w:tcBorders>
            <w:noWrap w:val="0"/>
            <w:vAlign w:val="center"/>
          </w:tcPr>
          <w:p>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声明：我方在报价前，已认真阅读《竞争性谈判文件》，理解并完全响应文本中所有实质性要求。</w:t>
            </w:r>
          </w:p>
        </w:tc>
      </w:tr>
    </w:tbl>
    <w:p>
      <w:pPr>
        <w:snapToGrid w:val="0"/>
        <w:rPr>
          <w:rFonts w:hint="eastAsia" w:ascii="宋体" w:hAnsi="宋体" w:cs="Arial"/>
          <w:color w:val="auto"/>
          <w:sz w:val="32"/>
          <w:szCs w:val="32"/>
          <w:highlight w:val="none"/>
        </w:rPr>
      </w:pPr>
    </w:p>
    <w:p>
      <w:pPr>
        <w:snapToGrid w:val="0"/>
        <w:rPr>
          <w:rFonts w:hint="eastAsia" w:ascii="宋体" w:hAnsi="宋体" w:cs="Arial"/>
          <w:color w:val="auto"/>
          <w:sz w:val="32"/>
          <w:szCs w:val="32"/>
          <w:highlight w:val="none"/>
        </w:rPr>
      </w:pPr>
      <w:r>
        <w:rPr>
          <w:rFonts w:hint="eastAsia" w:ascii="宋体" w:hAnsi="宋体" w:cs="Arial"/>
          <w:color w:val="auto"/>
          <w:sz w:val="32"/>
          <w:szCs w:val="32"/>
          <w:highlight w:val="none"/>
          <w:lang w:val="en-US" w:eastAsia="zh-CN"/>
        </w:rPr>
        <w:t>供应商</w:t>
      </w:r>
      <w:r>
        <w:rPr>
          <w:rFonts w:hint="eastAsia" w:ascii="宋体" w:hAnsi="宋体" w:cs="Arial"/>
          <w:color w:val="auto"/>
          <w:sz w:val="32"/>
          <w:szCs w:val="32"/>
          <w:highlight w:val="none"/>
        </w:rPr>
        <w:t>：</w:t>
      </w:r>
      <w:r>
        <w:rPr>
          <w:rFonts w:hint="eastAsia" w:ascii="宋体" w:hAnsi="宋体" w:cs="Arial"/>
          <w:color w:val="auto"/>
          <w:sz w:val="32"/>
          <w:szCs w:val="32"/>
          <w:highlight w:val="none"/>
          <w:u w:val="single"/>
        </w:rPr>
        <w:t xml:space="preserve">                                 （</w:t>
      </w:r>
      <w:r>
        <w:rPr>
          <w:rFonts w:hint="eastAsia" w:ascii="宋体" w:hAnsi="宋体" w:cs="Arial"/>
          <w:color w:val="auto"/>
          <w:sz w:val="32"/>
          <w:szCs w:val="32"/>
          <w:highlight w:val="none"/>
          <w:u w:val="single"/>
          <w:lang w:val="en-US" w:eastAsia="zh-CN"/>
        </w:rPr>
        <w:t>盖章</w:t>
      </w:r>
      <w:r>
        <w:rPr>
          <w:rFonts w:hint="eastAsia" w:ascii="宋体" w:hAnsi="宋体" w:cs="Arial"/>
          <w:color w:val="auto"/>
          <w:sz w:val="32"/>
          <w:szCs w:val="32"/>
          <w:highlight w:val="none"/>
          <w:u w:val="single"/>
        </w:rPr>
        <w:t>）</w:t>
      </w:r>
      <w:r>
        <w:rPr>
          <w:rFonts w:hint="eastAsia" w:ascii="宋体" w:hAnsi="宋体" w:cs="Arial"/>
          <w:color w:val="auto"/>
          <w:sz w:val="32"/>
          <w:szCs w:val="32"/>
          <w:highlight w:val="none"/>
        </w:rPr>
        <w:t>；</w:t>
      </w:r>
    </w:p>
    <w:p>
      <w:pPr>
        <w:snapToGrid w:val="0"/>
        <w:rPr>
          <w:rFonts w:hint="eastAsia" w:ascii="宋体" w:hAnsi="宋体" w:cs="Arial"/>
          <w:color w:val="auto"/>
          <w:sz w:val="32"/>
          <w:szCs w:val="32"/>
          <w:highlight w:val="none"/>
        </w:rPr>
      </w:pPr>
    </w:p>
    <w:p>
      <w:pPr>
        <w:snapToGrid w:val="0"/>
        <w:rPr>
          <w:rFonts w:ascii="Arial" w:hAnsi="Arial" w:cs="Arial"/>
          <w:color w:val="auto"/>
          <w:sz w:val="15"/>
          <w:szCs w:val="15"/>
          <w:highlight w:val="none"/>
        </w:rPr>
      </w:pPr>
      <w:r>
        <w:rPr>
          <w:rFonts w:hint="eastAsia" w:ascii="宋体" w:hAnsi="宋体" w:cs="Arial"/>
          <w:color w:val="auto"/>
          <w:sz w:val="32"/>
          <w:szCs w:val="32"/>
          <w:highlight w:val="none"/>
        </w:rPr>
        <w:t>法定代表人（或授权委托人）：</w:t>
      </w:r>
      <w:r>
        <w:rPr>
          <w:rFonts w:hint="eastAsia" w:ascii="宋体" w:hAnsi="宋体" w:cs="Arial"/>
          <w:color w:val="auto"/>
          <w:sz w:val="32"/>
          <w:szCs w:val="32"/>
          <w:highlight w:val="none"/>
          <w:u w:val="single"/>
        </w:rPr>
        <w:t xml:space="preserve">               （</w:t>
      </w:r>
      <w:r>
        <w:rPr>
          <w:rFonts w:hint="eastAsia" w:ascii="宋体" w:hAnsi="宋体" w:cs="Arial"/>
          <w:color w:val="auto"/>
          <w:sz w:val="32"/>
          <w:szCs w:val="32"/>
          <w:highlight w:val="none"/>
          <w:u w:val="single"/>
          <w:lang w:val="en-US" w:eastAsia="zh-CN"/>
        </w:rPr>
        <w:t>签字或盖章</w:t>
      </w:r>
      <w:r>
        <w:rPr>
          <w:rFonts w:hint="eastAsia" w:ascii="宋体" w:hAnsi="宋体" w:cs="Arial"/>
          <w:color w:val="auto"/>
          <w:sz w:val="32"/>
          <w:szCs w:val="32"/>
          <w:highlight w:val="none"/>
          <w:u w:val="single"/>
        </w:rPr>
        <w:t>）</w:t>
      </w:r>
      <w:r>
        <w:rPr>
          <w:rFonts w:hint="eastAsia" w:ascii="宋体" w:hAnsi="宋体" w:cs="Arial"/>
          <w:color w:val="auto"/>
          <w:sz w:val="32"/>
          <w:szCs w:val="32"/>
          <w:highlight w:val="none"/>
        </w:rPr>
        <w:t>；</w:t>
      </w:r>
    </w:p>
    <w:p>
      <w:pPr>
        <w:keepNext w:val="0"/>
        <w:keepLines w:val="0"/>
        <w:pageBreakBefore w:val="0"/>
        <w:widowControl w:val="0"/>
        <w:kinsoku/>
        <w:wordWrap w:val="0"/>
        <w:overflowPunct/>
        <w:topLinePunct w:val="0"/>
        <w:autoSpaceDE/>
        <w:autoSpaceDN/>
        <w:bidi w:val="0"/>
        <w:adjustRightInd/>
        <w:snapToGrid w:val="0"/>
        <w:spacing w:line="460" w:lineRule="exact"/>
        <w:jc w:val="left"/>
        <w:textAlignment w:val="auto"/>
        <w:rPr>
          <w:rFonts w:hint="eastAsia" w:ascii="宋体" w:hAnsi="宋体" w:cs="Arial"/>
          <w:color w:val="auto"/>
          <w:sz w:val="32"/>
          <w:szCs w:val="32"/>
          <w:highlight w:val="none"/>
        </w:rPr>
      </w:pPr>
    </w:p>
    <w:p>
      <w:pPr>
        <w:keepNext w:val="0"/>
        <w:keepLines w:val="0"/>
        <w:pageBreakBefore w:val="0"/>
        <w:widowControl w:val="0"/>
        <w:kinsoku/>
        <w:wordWrap w:val="0"/>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备注：1、投标人响应文件报价应在控制价范围内，报价不得高于原响应文件报价，否则，取消谈判资格。</w:t>
      </w:r>
    </w:p>
    <w:p>
      <w:pPr>
        <w:keepNext w:val="0"/>
        <w:keepLines w:val="0"/>
        <w:pageBreakBefore w:val="0"/>
        <w:widowControl w:val="0"/>
        <w:numPr>
          <w:ilvl w:val="0"/>
          <w:numId w:val="5"/>
        </w:numPr>
        <w:kinsoku/>
        <w:wordWrap w:val="0"/>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报价只需报总价，各项单价按照总价同比例下浮，报价保留小数点后第2位，第三位四舍五入。</w:t>
      </w:r>
    </w:p>
    <w:p>
      <w:pPr>
        <w:keepNext w:val="0"/>
        <w:keepLines w:val="0"/>
        <w:pageBreakBefore w:val="0"/>
        <w:widowControl w:val="0"/>
        <w:kinsoku/>
        <w:wordWrap w:val="0"/>
        <w:overflowPunct/>
        <w:topLinePunct w:val="0"/>
        <w:autoSpaceDE/>
        <w:autoSpaceDN/>
        <w:bidi w:val="0"/>
        <w:adjustRightInd/>
        <w:snapToGrid w:val="0"/>
        <w:spacing w:line="460" w:lineRule="exact"/>
        <w:ind w:firstLine="640"/>
        <w:jc w:val="left"/>
        <w:textAlignment w:val="auto"/>
        <w:rPr>
          <w:rFonts w:hint="eastAsia" w:ascii="宋体" w:hAnsi="宋体" w:cs="Arial"/>
          <w:b/>
          <w:bCs/>
          <w:color w:val="auto"/>
          <w:sz w:val="28"/>
          <w:szCs w:val="28"/>
          <w:highlight w:val="none"/>
          <w:lang w:val="en-US" w:eastAsia="zh-CN"/>
        </w:rPr>
      </w:pPr>
      <w:r>
        <w:rPr>
          <w:rFonts w:hint="eastAsia" w:ascii="宋体" w:hAnsi="宋体" w:eastAsia="宋体" w:cs="宋体"/>
          <w:b/>
          <w:bCs/>
          <w:color w:val="auto"/>
          <w:kern w:val="2"/>
          <w:sz w:val="24"/>
          <w:szCs w:val="24"/>
          <w:highlight w:val="none"/>
          <w:lang w:val="en-US" w:eastAsia="zh-CN" w:bidi="ar-SA"/>
        </w:rPr>
        <w:t>【本表无需</w:t>
      </w:r>
      <w:r>
        <w:rPr>
          <w:rFonts w:hint="eastAsia" w:ascii="宋体" w:hAnsi="宋体" w:cs="宋体"/>
          <w:b/>
          <w:bCs/>
          <w:color w:val="auto"/>
          <w:kern w:val="2"/>
          <w:sz w:val="24"/>
          <w:szCs w:val="24"/>
          <w:highlight w:val="none"/>
          <w:lang w:val="en-US" w:eastAsia="zh-CN" w:bidi="ar-SA"/>
        </w:rPr>
        <w:t>装入</w:t>
      </w:r>
      <w:r>
        <w:rPr>
          <w:rFonts w:hint="eastAsia" w:ascii="宋体" w:hAnsi="宋体" w:eastAsia="宋体" w:cs="宋体"/>
          <w:b/>
          <w:bCs/>
          <w:color w:val="auto"/>
          <w:kern w:val="2"/>
          <w:sz w:val="24"/>
          <w:szCs w:val="24"/>
          <w:highlight w:val="none"/>
          <w:lang w:val="en-US" w:eastAsia="zh-CN" w:bidi="ar-SA"/>
        </w:rPr>
        <w:t>响应文件中，二次报价时使用】</w:t>
      </w:r>
    </w:p>
    <w:p>
      <w:pPr>
        <w:rPr>
          <w:rFonts w:hint="eastAsia"/>
          <w:color w:val="auto"/>
          <w:highlight w:val="none"/>
          <w:lang w:val="en-US" w:eastAsia="zh-CN"/>
        </w:rPr>
      </w:pPr>
    </w:p>
    <w:p>
      <w:pPr>
        <w:pStyle w:val="16"/>
        <w:ind w:left="0" w:leftChars="0" w:firstLine="0" w:firstLineChars="0"/>
        <w:rPr>
          <w:rFonts w:hint="eastAsia"/>
          <w:color w:val="auto"/>
          <w:highlight w:val="none"/>
          <w:lang w:val="en-US" w:eastAsia="zh-CN"/>
        </w:rPr>
      </w:pPr>
    </w:p>
    <w:p>
      <w:pPr>
        <w:pStyle w:val="16"/>
        <w:ind w:left="0" w:leftChars="0" w:firstLine="0" w:firstLineChars="0"/>
        <w:rPr>
          <w:rFonts w:hint="eastAsia"/>
          <w:color w:val="auto"/>
          <w:highlight w:val="none"/>
          <w:lang w:val="en-US" w:eastAsia="zh-CN"/>
        </w:rPr>
      </w:pPr>
    </w:p>
    <w:p>
      <w:pPr>
        <w:pStyle w:val="16"/>
        <w:ind w:left="0" w:leftChars="0" w:firstLine="0" w:firstLineChars="0"/>
        <w:rPr>
          <w:rFonts w:hint="eastAsia"/>
          <w:color w:val="auto"/>
          <w:highlight w:val="none"/>
          <w:lang w:val="en-US" w:eastAsia="zh-CN"/>
        </w:rPr>
      </w:pPr>
    </w:p>
    <w:p>
      <w:pPr>
        <w:pStyle w:val="16"/>
        <w:ind w:left="0" w:leftChars="0" w:firstLine="0" w:firstLineChars="0"/>
        <w:rPr>
          <w:rFonts w:hint="eastAsia"/>
          <w:color w:val="auto"/>
          <w:highlight w:val="none"/>
          <w:lang w:val="en-US" w:eastAsia="zh-CN"/>
        </w:rPr>
      </w:pPr>
    </w:p>
    <w:p>
      <w:pPr>
        <w:pStyle w:val="16"/>
        <w:ind w:left="0" w:leftChars="0" w:firstLine="0" w:firstLineChars="0"/>
        <w:rPr>
          <w:rFonts w:hint="eastAsia"/>
          <w:color w:val="auto"/>
          <w:highlight w:val="none"/>
          <w:lang w:val="en-US" w:eastAsia="zh-CN"/>
        </w:rPr>
      </w:pPr>
    </w:p>
    <w:p>
      <w:pPr>
        <w:pStyle w:val="16"/>
        <w:ind w:left="0" w:leftChars="0" w:firstLine="0" w:firstLineChars="0"/>
        <w:rPr>
          <w:rFonts w:hint="eastAsia"/>
          <w:color w:val="auto"/>
          <w:highlight w:val="none"/>
          <w:lang w:val="en-US" w:eastAsia="zh-CN"/>
        </w:rPr>
      </w:pPr>
    </w:p>
    <w:p>
      <w:pPr>
        <w:shd w:val="clear"/>
        <w:spacing w:line="360" w:lineRule="exact"/>
        <w:rPr>
          <w:rFonts w:hint="eastAsia" w:ascii="宋体" w:hAnsi="宋体" w:eastAsia="宋体" w:cs="宋体"/>
          <w:b/>
          <w:bCs w:val="0"/>
          <w:szCs w:val="21"/>
          <w:highlight w:val="none"/>
        </w:rPr>
      </w:pPr>
      <w:r>
        <w:rPr>
          <w:rFonts w:hint="eastAsia" w:ascii="宋体" w:hAnsi="宋体" w:eastAsia="宋体" w:cs="宋体"/>
          <w:b/>
          <w:bCs w:val="0"/>
          <w:szCs w:val="21"/>
          <w:highlight w:val="none"/>
        </w:rPr>
        <w:t xml:space="preserve">附件1            </w:t>
      </w:r>
    </w:p>
    <w:p>
      <w:pPr>
        <w:shd w:val="clear"/>
        <w:spacing w:line="360" w:lineRule="exact"/>
        <w:ind w:firstLine="1687" w:firstLineChars="800"/>
        <w:rPr>
          <w:rFonts w:hint="eastAsia" w:ascii="宋体" w:hAnsi="宋体" w:eastAsia="宋体" w:cs="宋体"/>
          <w:b/>
          <w:bCs w:val="0"/>
          <w:szCs w:val="21"/>
          <w:highlight w:val="none"/>
        </w:rPr>
      </w:pPr>
      <w:r>
        <w:rPr>
          <w:rFonts w:hint="eastAsia" w:ascii="宋体" w:hAnsi="宋体" w:eastAsia="宋体" w:cs="宋体"/>
          <w:b/>
          <w:bCs w:val="0"/>
          <w:szCs w:val="21"/>
          <w:highlight w:val="none"/>
        </w:rPr>
        <w:t>关于联合惩戒失信行为 加强信用查询管理的通知</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一、失信行为联合惩戒的范围和查询渠道</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在我市公共资源交易活动中对存在下列失信行为的投标人、法定代表人及其项目负责人实施联合惩戒，禁止参与我市公共资源交易活动。</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（一）工程建设项目</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1、“信用中国”网站（www.creditchina.gov.cn）查询以下失信行为：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①投标人被人民法院列入失信被执行人的；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②投标人被税务部门列入重大税收违法案件当事人的；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③投标人被人力资源社会保障行政部门列入拖欠农民工工资“黑名单”的；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④在“信用中国”网站上披露的仍在公示期的严重失信行为的。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2、国家企业信用信息公示系统网站（www.gsxt.gov.cn）查询以下失信行为：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①被市场监督管理部门列入经营异常名录或者严重违法企业名单，且未被移除的。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3、滁州市公共资源交易中心网（http://ggzy.chuzhou.gov.cn/）查询以下失信行为：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①被滁州市县两级公管部门取消在一定期限内的投标资格且在取消期限内的；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②被滁州市县两级公管部门记入不良行为记录或者信用信息记录，且在披露期内的。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4、由竞争主体进行承诺，不进行现场网上信用查询的失信行为：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w:t>
      </w:r>
      <w:r>
        <w:rPr>
          <w:rFonts w:hint="eastAsia" w:ascii="宋体" w:hAnsi="宋体" w:eastAsia="宋体" w:cs="宋体"/>
          <w:szCs w:val="20"/>
          <w:highlight w:val="none"/>
        </w:rPr>
        <w:t>前三年有行贿犯罪行为的单位和个人；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②被滁州市县两级各行业主管部门取消在一定期限内的投标资格且在取消期限内的；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③因拖欠农民工工资被县级及以上有关行政主管部门限制投标资格且在限制期限内的。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（二）政府采购项目</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1、“信用中国”网站（www.creditchina.gov.cn）查询以下失信行为：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①投标人被人民法院列入失信被执行人的；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②投标人被税务部门列入重大税收违法案件当事人的；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③在“信用中国”网站上披露的仍在公示期的严重失信行为的。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2、国家企业信用信息公示系统网站（www.gsxt.gov.cn）查询以下失信行为：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①被市场监督管理部门列入经营异常名录或者严重违法企业名单，且未被移除的。</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3、中国政府采购网站（www.ccgp.gov.cn）查询以下失信行为：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①政府采购严重违法失信行为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4、由竞争主体进行承诺，不进行现场网上信用查询的失信行为：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w:t>
      </w:r>
      <w:r>
        <w:rPr>
          <w:rFonts w:hint="eastAsia" w:ascii="宋体" w:hAnsi="宋体" w:eastAsia="宋体" w:cs="宋体"/>
          <w:szCs w:val="20"/>
          <w:highlight w:val="none"/>
        </w:rPr>
        <w:t>前三年有行贿犯罪行为的单位和个人；</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二、在开评标活动中的查询程序</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pPr>
        <w:shd w:val="clear"/>
        <w:wordWrap w:val="0"/>
        <w:ind w:firstLine="420" w:firstLineChars="200"/>
        <w:rPr>
          <w:rFonts w:hint="eastAsia" w:ascii="宋体" w:hAnsi="宋体" w:eastAsia="宋体" w:cs="宋体"/>
          <w:szCs w:val="20"/>
          <w:highlight w:val="none"/>
        </w:rPr>
      </w:pPr>
      <w:r>
        <w:rPr>
          <w:rFonts w:hint="eastAsia" w:ascii="宋体" w:hAnsi="宋体" w:eastAsia="宋体" w:cs="宋体"/>
          <w:bCs/>
          <w:szCs w:val="21"/>
          <w:highlight w:val="none"/>
        </w:rPr>
        <w:t>2、</w:t>
      </w:r>
      <w:r>
        <w:rPr>
          <w:rFonts w:hint="eastAsia" w:ascii="宋体" w:hAnsi="宋体" w:eastAsia="宋体" w:cs="宋体"/>
          <w:szCs w:val="20"/>
          <w:highlight w:val="none"/>
        </w:rPr>
        <w:t xml:space="preserve">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 </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3、项目单位及其委托的代理机构应当做好信用查询结果截图和记录留存。</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三、相关要求</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2、“信用中国”查询的严重失信行为判定依据为各行业主管部门下发的联合惩戒文件中规定的行为（按附件2执行）。</w:t>
      </w:r>
    </w:p>
    <w:p>
      <w:pPr>
        <w:shd w:val="clear"/>
        <w:spacing w:line="36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3、资格预审的项目以递交资格预审申请文件截止时间查询为准；资格后审的项目以递交投标文件截止时间查询为准。</w:t>
      </w:r>
    </w:p>
    <w:p>
      <w:pPr>
        <w:shd w:val="clear"/>
        <w:spacing w:line="360" w:lineRule="exact"/>
        <w:rPr>
          <w:rFonts w:hint="eastAsia" w:ascii="宋体" w:hAnsi="宋体" w:eastAsia="宋体" w:cs="宋体"/>
          <w:szCs w:val="21"/>
          <w:highlight w:val="none"/>
        </w:rPr>
      </w:pPr>
    </w:p>
    <w:p>
      <w:pPr>
        <w:widowControl w:val="0"/>
        <w:shd w:val="clear"/>
        <w:spacing w:after="120" w:line="360" w:lineRule="exact"/>
        <w:ind w:left="420" w:leftChars="200" w:firstLine="420" w:firstLineChars="200"/>
        <w:jc w:val="both"/>
        <w:rPr>
          <w:rFonts w:hint="eastAsia" w:ascii="宋体" w:hAnsi="宋体" w:eastAsia="宋体" w:cs="宋体"/>
          <w:kern w:val="2"/>
          <w:sz w:val="21"/>
          <w:szCs w:val="21"/>
          <w:highlight w:val="none"/>
          <w:lang w:val="en-US" w:eastAsia="zh-CN" w:bidi="ar-SA"/>
        </w:rPr>
      </w:pPr>
    </w:p>
    <w:p>
      <w:pPr>
        <w:shd w:val="clear"/>
        <w:rPr>
          <w:rFonts w:hint="eastAsia" w:ascii="宋体" w:hAnsi="宋体" w:eastAsia="宋体" w:cs="宋体"/>
          <w:szCs w:val="21"/>
          <w:highlight w:val="none"/>
        </w:rPr>
      </w:pPr>
    </w:p>
    <w:p>
      <w:pPr>
        <w:shd w:val="clear"/>
        <w:spacing w:line="360" w:lineRule="exact"/>
        <w:rPr>
          <w:rFonts w:hint="eastAsia" w:ascii="宋体" w:hAnsi="宋体" w:eastAsia="宋体" w:cs="宋体"/>
          <w:b/>
          <w:szCs w:val="21"/>
          <w:highlight w:val="none"/>
        </w:rPr>
      </w:pPr>
    </w:p>
    <w:p>
      <w:pPr>
        <w:shd w:val="clear"/>
        <w:spacing w:line="360" w:lineRule="exact"/>
        <w:rPr>
          <w:rFonts w:hint="eastAsia" w:ascii="宋体" w:hAnsi="宋体" w:eastAsia="宋体" w:cs="宋体"/>
          <w:b/>
          <w:szCs w:val="21"/>
          <w:highlight w:val="none"/>
        </w:rPr>
      </w:pPr>
      <w:r>
        <w:rPr>
          <w:rFonts w:hint="eastAsia" w:ascii="宋体" w:hAnsi="宋体" w:eastAsia="宋体" w:cs="宋体"/>
          <w:b/>
          <w:szCs w:val="21"/>
          <w:highlight w:val="none"/>
        </w:rPr>
        <w:t>附件2         “信用中国”查询的严重失信行为类别及判定依据</w:t>
      </w:r>
    </w:p>
    <w:p>
      <w:pPr>
        <w:shd w:val="clear"/>
        <w:spacing w:line="360" w:lineRule="exact"/>
        <w:jc w:val="center"/>
        <w:rPr>
          <w:rFonts w:hint="eastAsia" w:ascii="宋体" w:hAnsi="宋体" w:eastAsia="宋体" w:cs="宋体"/>
          <w:b/>
          <w:szCs w:val="21"/>
          <w:highlight w:val="none"/>
        </w:rPr>
      </w:pP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“信用中国”查询的严重失信行为判定依据为各行业主管部门下发的联合惩戒文件中规定的行为。下面将部分类别的严重失信行为列举如下：</w:t>
      </w:r>
    </w:p>
    <w:p>
      <w:pPr>
        <w:shd w:val="clear"/>
        <w:spacing w:line="360" w:lineRule="exact"/>
        <w:ind w:firstLine="645"/>
        <w:jc w:val="left"/>
        <w:rPr>
          <w:rFonts w:hint="eastAsia" w:ascii="宋体" w:hAnsi="宋体" w:eastAsia="宋体" w:cs="宋体"/>
          <w:b/>
          <w:szCs w:val="21"/>
          <w:highlight w:val="none"/>
        </w:rPr>
      </w:pPr>
      <w:r>
        <w:rPr>
          <w:rFonts w:hint="eastAsia" w:ascii="宋体" w:hAnsi="宋体" w:eastAsia="宋体" w:cs="宋体"/>
          <w:b/>
          <w:szCs w:val="21"/>
          <w:highlight w:val="none"/>
        </w:rPr>
        <w:t>一、安全生产领域严重失信行为：</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（一）发生较大及以上生产安全责任事故，或1年内累计发生3起及以上造成人员死亡的一般生产安全责任事故的；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（二）未按规定取得安全生产许可，擅自开展生产经营建设活动的；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（三）发现重大生产安全事故隐患，或职业病危害严重超标，不及时整改，仍组织从业人员冒险作业的；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（四）采取隐蔽、欺骗或阻碍等方式逃避、对抗安全监管监察的;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（五）被责令停产停业整顿，仍然从事生产经营建设活动的；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（六）瞒报、谎报、迟报生产安全事故的；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（七）矿山、危险化学品、金属冶炼等高危行业建设项目安全设施未经验收合格即投入生产和使用的；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（八）矿山生产经营单位存在超层越界开采、以探代采行为的；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（九）发生事故后，故意破坏事故现场，伪造有关证据资料，妨碍、对抗事故调查，或主要负责人逃逸的；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（十）安全生产和职业健康技术服务机构出具虚假报告或证明，违规转让或出借资质的。</w:t>
      </w:r>
    </w:p>
    <w:p>
      <w:pPr>
        <w:shd w:val="clear"/>
        <w:spacing w:line="360" w:lineRule="exact"/>
        <w:ind w:firstLine="645"/>
        <w:jc w:val="left"/>
        <w:rPr>
          <w:rFonts w:hint="eastAsia" w:ascii="宋体" w:hAnsi="宋体" w:eastAsia="宋体" w:cs="宋体"/>
          <w:b/>
          <w:szCs w:val="21"/>
          <w:highlight w:val="none"/>
        </w:rPr>
      </w:pPr>
      <w:r>
        <w:rPr>
          <w:rFonts w:hint="eastAsia" w:ascii="宋体" w:hAnsi="宋体" w:eastAsia="宋体" w:cs="宋体"/>
          <w:b/>
          <w:szCs w:val="21"/>
          <w:highlight w:val="none"/>
        </w:rPr>
        <w:t>依据：《对安全生产领域失信行为开展联合惩戒的实施办法》（安监总办〔2017〕49号）第二条</w:t>
      </w:r>
    </w:p>
    <w:p>
      <w:pPr>
        <w:shd w:val="clear"/>
        <w:spacing w:line="360" w:lineRule="exact"/>
        <w:ind w:firstLine="645"/>
        <w:jc w:val="left"/>
        <w:rPr>
          <w:rFonts w:hint="eastAsia" w:ascii="宋体" w:hAnsi="宋体" w:eastAsia="宋体" w:cs="宋体"/>
          <w:b/>
          <w:szCs w:val="21"/>
          <w:highlight w:val="none"/>
        </w:rPr>
      </w:pPr>
      <w:r>
        <w:rPr>
          <w:rFonts w:hint="eastAsia" w:ascii="宋体" w:hAnsi="宋体" w:eastAsia="宋体" w:cs="宋体"/>
          <w:b/>
          <w:szCs w:val="21"/>
          <w:highlight w:val="none"/>
        </w:rPr>
        <w:t>二、环境保护领域严重失信行为：</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（一）因为环境违法构成</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"https://baike.sogou.com/m/fullLemma?lid=10403954&amp;g_ut=3" \t "https://baike.sogou.com/m/_blank"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环境犯罪</w:t>
      </w:r>
      <w:r>
        <w:rPr>
          <w:rFonts w:hint="eastAsia" w:ascii="宋体" w:hAnsi="宋体" w:eastAsia="宋体" w:cs="宋体"/>
          <w:szCs w:val="21"/>
          <w:highlight w:val="none"/>
        </w:rPr>
        <w:fldChar w:fldCharType="end"/>
      </w:r>
      <w:r>
        <w:rPr>
          <w:rFonts w:hint="eastAsia" w:ascii="宋体" w:hAnsi="宋体" w:eastAsia="宋体" w:cs="宋体"/>
          <w:szCs w:val="21"/>
          <w:highlight w:val="none"/>
        </w:rPr>
        <w:t>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"https://baike.sogou.com/m/fullLemma?lid=76033123&amp;g_ut=3" \t "https://baike.sogou.com/m/_blank"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建设项目环境影响评价</w:t>
      </w:r>
      <w:r>
        <w:rPr>
          <w:rFonts w:hint="eastAsia" w:ascii="宋体" w:hAnsi="宋体" w:eastAsia="宋体" w:cs="宋体"/>
          <w:szCs w:val="21"/>
          <w:highlight w:val="none"/>
        </w:rPr>
        <w:fldChar w:fldCharType="end"/>
      </w:r>
      <w:r>
        <w:rPr>
          <w:rFonts w:hint="eastAsia" w:ascii="宋体" w:hAnsi="宋体" w:eastAsia="宋体" w:cs="宋体"/>
          <w:szCs w:val="21"/>
          <w:highlight w:val="none"/>
        </w:rPr>
        <w:t>文件未按规定通过审批，擅自开工建设的；</w:t>
      </w:r>
    </w:p>
    <w:p>
      <w:pPr>
        <w:shd w:val="clear"/>
        <w:spacing w:line="360" w:lineRule="exact"/>
        <w:ind w:firstLine="645"/>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（三）建设项目环保设施未建成、环保措施未落实、未通过</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"https://baike.sogou.com/m/fullLemma?lid=6470550&amp;g_ut=3" \t "https://baike.sogou.com/m/_blank"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竣工环保验收</w:t>
      </w:r>
      <w:r>
        <w:rPr>
          <w:rFonts w:hint="eastAsia" w:ascii="宋体" w:hAnsi="宋体" w:eastAsia="宋体" w:cs="宋体"/>
          <w:szCs w:val="21"/>
          <w:highlight w:val="none"/>
        </w:rPr>
        <w:fldChar w:fldCharType="end"/>
      </w:r>
      <w:r>
        <w:rPr>
          <w:rFonts w:hint="eastAsia" w:ascii="宋体" w:hAnsi="宋体" w:eastAsia="宋体" w:cs="宋体"/>
          <w:szCs w:val="21"/>
          <w:highlight w:val="none"/>
        </w:rPr>
        <w:t>或者验收不合格，主体工程正式投入生产或者使用的；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（四）建设项目性质、规模、地点、采用的生产工艺或者防治污染、防止生态破坏的措施发生重大变动，未重新报批环境影响评价文件，擅自投入生产或者使用的；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（五）主要污染物排放总量超过控制指标的；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（六）私设暗管或者利用</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"https://baike.sogou.com/m/fullLemma?lid=41657319&amp;g_ut=3" \t "https://baike.sogou.com/m/_blank"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渗井</w:t>
      </w:r>
      <w:r>
        <w:rPr>
          <w:rFonts w:hint="eastAsia" w:ascii="宋体" w:hAnsi="宋体" w:eastAsia="宋体" w:cs="宋体"/>
          <w:szCs w:val="21"/>
          <w:highlight w:val="none"/>
        </w:rPr>
        <w:fldChar w:fldCharType="end"/>
      </w:r>
      <w:r>
        <w:rPr>
          <w:rFonts w:hint="eastAsia" w:ascii="宋体" w:hAnsi="宋体" w:eastAsia="宋体" w:cs="宋体"/>
          <w:szCs w:val="21"/>
          <w:highlight w:val="none"/>
        </w:rPr>
        <w:t>、渗坑、裂隙、溶洞等排放、倾倒、处置水污染物，或者通过私设旁路排放</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"https://baike.sogou.com/m/fullLemma?lid=7758328&amp;g_ut=3" \t "https://baike.sogou.com/m/_blank"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大气污染物</w:t>
      </w:r>
      <w:r>
        <w:rPr>
          <w:rFonts w:hint="eastAsia" w:ascii="宋体" w:hAnsi="宋体" w:eastAsia="宋体" w:cs="宋体"/>
          <w:szCs w:val="21"/>
          <w:highlight w:val="none"/>
        </w:rPr>
        <w:fldChar w:fldCharType="end"/>
      </w:r>
      <w:r>
        <w:rPr>
          <w:rFonts w:hint="eastAsia" w:ascii="宋体" w:hAnsi="宋体" w:eastAsia="宋体" w:cs="宋体"/>
          <w:szCs w:val="21"/>
          <w:highlight w:val="none"/>
        </w:rPr>
        <w:t>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（七）非法排放、倾倒、处置危险废物，或者向无</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"https://baike.sogou.com/m/fullLemma?lid=5923292&amp;g_ut=3" \t "https://baike.sogou.com/m/_blank"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经营许可证</w:t>
      </w:r>
      <w:r>
        <w:rPr>
          <w:rFonts w:hint="eastAsia" w:ascii="宋体" w:hAnsi="宋体" w:eastAsia="宋体" w:cs="宋体"/>
          <w:szCs w:val="21"/>
          <w:highlight w:val="none"/>
        </w:rPr>
        <w:fldChar w:fldCharType="end"/>
      </w:r>
      <w:r>
        <w:rPr>
          <w:rFonts w:hint="eastAsia" w:ascii="宋体" w:hAnsi="宋体" w:eastAsia="宋体" w:cs="宋体"/>
          <w:szCs w:val="21"/>
          <w:highlight w:val="none"/>
        </w:rPr>
        <w:t>或者超出经营许可范围的单位或个人提供或者委托其收集、贮存、利用、处置危险废物的；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（八）</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"https://baike.sogou.com/m/fullLemma?lid=167759803&amp;g_ut=3" \t "https://baike.sogou.com/m/_blank"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环境违法行为</w:t>
      </w:r>
      <w:r>
        <w:rPr>
          <w:rFonts w:hint="eastAsia" w:ascii="宋体" w:hAnsi="宋体" w:eastAsia="宋体" w:cs="宋体"/>
          <w:szCs w:val="21"/>
          <w:highlight w:val="none"/>
        </w:rPr>
        <w:fldChar w:fldCharType="end"/>
      </w:r>
      <w:r>
        <w:rPr>
          <w:rFonts w:hint="eastAsia" w:ascii="宋体" w:hAnsi="宋体" w:eastAsia="宋体" w:cs="宋体"/>
          <w:szCs w:val="21"/>
          <w:highlight w:val="none"/>
        </w:rPr>
        <w:t>造成集中式生活饮用水水源取水中断的；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（九）环境违法行为对生活饮用水水源保护区、自然保护区、</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"https://baike.sogou.com/m/fullLemma?lid=155199213&amp;g_ut=3" \t "https://baike.sogou.com/m/_blank"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国家重点生态功能区</w:t>
      </w:r>
      <w:r>
        <w:rPr>
          <w:rFonts w:hint="eastAsia" w:ascii="宋体" w:hAnsi="宋体" w:eastAsia="宋体" w:cs="宋体"/>
          <w:szCs w:val="21"/>
          <w:highlight w:val="none"/>
        </w:rPr>
        <w:fldChar w:fldCharType="end"/>
      </w:r>
      <w:r>
        <w:rPr>
          <w:rFonts w:hint="eastAsia" w:ascii="宋体" w:hAnsi="宋体" w:eastAsia="宋体" w:cs="宋体"/>
          <w:szCs w:val="21"/>
          <w:highlight w:val="none"/>
        </w:rPr>
        <w:t>、风景名胜区、居住功能区、</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"https://baike.sogou.com/m/fullLemma?lid=7757164&amp;g_ut=3" \t "https://baike.sogou.com/m/_blank"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基本农田保护区</w:t>
      </w:r>
      <w:r>
        <w:rPr>
          <w:rFonts w:hint="eastAsia" w:ascii="宋体" w:hAnsi="宋体" w:eastAsia="宋体" w:cs="宋体"/>
          <w:szCs w:val="21"/>
          <w:highlight w:val="none"/>
        </w:rPr>
        <w:fldChar w:fldCharType="end"/>
      </w:r>
      <w:r>
        <w:rPr>
          <w:rFonts w:hint="eastAsia" w:ascii="宋体" w:hAnsi="宋体" w:eastAsia="宋体" w:cs="宋体"/>
          <w:szCs w:val="21"/>
          <w:highlight w:val="none"/>
        </w:rPr>
        <w:t>等环境敏感区造成重大不利影响的；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（十）违法从事自然资源开发、交通基础设施建设，以及其他开发建设活动，造成严重生态破坏的；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（十一）发生较大及以上突发环境事件的；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（十二）被环保部门挂牌督办，整改逾期未完成的；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（十三）以暴力、威胁等方式拒绝、阻挠环保部门工作人员现场检查的；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（十四）违反重污染天气应急预案有关规定，对重污染天气响应不力的。</w:t>
      </w:r>
    </w:p>
    <w:p>
      <w:pPr>
        <w:shd w:val="clear"/>
        <w:spacing w:line="360" w:lineRule="exact"/>
        <w:ind w:firstLine="645"/>
        <w:jc w:val="left"/>
        <w:rPr>
          <w:rFonts w:hint="eastAsia" w:ascii="宋体" w:hAnsi="宋体" w:eastAsia="宋体" w:cs="宋体"/>
          <w:b/>
          <w:szCs w:val="21"/>
          <w:highlight w:val="none"/>
        </w:rPr>
      </w:pPr>
      <w:r>
        <w:rPr>
          <w:rFonts w:hint="eastAsia" w:ascii="宋体" w:hAnsi="宋体" w:eastAsia="宋体" w:cs="宋体"/>
          <w:b/>
          <w:szCs w:val="21"/>
          <w:highlight w:val="none"/>
        </w:rPr>
        <w:t>依据：《关于对环境保护领域失信生产经营单位及其有关人员开展联合惩戒的合作备忘录》、《企业环境信用评价办法（试行）》（环发〔2013〕150号）</w:t>
      </w:r>
    </w:p>
    <w:p>
      <w:pPr>
        <w:shd w:val="clear"/>
        <w:spacing w:line="360" w:lineRule="exact"/>
        <w:ind w:firstLine="645"/>
        <w:jc w:val="left"/>
        <w:rPr>
          <w:rFonts w:hint="eastAsia" w:ascii="宋体" w:hAnsi="宋体" w:eastAsia="宋体" w:cs="宋体"/>
          <w:b/>
          <w:szCs w:val="21"/>
          <w:highlight w:val="none"/>
        </w:rPr>
      </w:pPr>
      <w:r>
        <w:rPr>
          <w:rFonts w:hint="eastAsia" w:ascii="宋体" w:hAnsi="宋体" w:eastAsia="宋体" w:cs="宋体"/>
          <w:b/>
          <w:szCs w:val="21"/>
          <w:highlight w:val="none"/>
        </w:rPr>
        <w:t>三、</w:t>
      </w:r>
      <w:r>
        <w:rPr>
          <w:rFonts w:hint="eastAsia" w:ascii="宋体" w:hAnsi="宋体" w:eastAsia="宋体" w:cs="宋体"/>
          <w:b/>
          <w:bCs/>
          <w:szCs w:val="21"/>
          <w:highlight w:val="none"/>
        </w:rPr>
        <w:t>公共资源交易领域严重失信行为</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（一）违反法律规定，必须进行招标的项目而不招标的，将必须进行招标的项目化整为零或者以其他任何方式规避招标的； </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（二）招标代理机构违反法律规定，泄露应当保密的与招标投标活动有关的情况和资料的，或者与招标人、投标人串通损害国家利益、社会公共利益或者他人合法权益的；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 （三）招标人以不合理的条件限制或者排斥潜在投标人的，对潜在投标人实行歧视待遇的，强制要求投标人组成联合体共同投标的，或者限制投标人之间竞争的；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 （四）依法必须进行招标的项目的招标人向他人透露已获取招标文件的潜在投标人的名称、数量或者可能影响公平竞争的有关招标投标的其他情况的，或者泄露标底的；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 （五）投标人相互串通投标或者与招标人串通投标的，投标人以向招标人或者评标委员会成员行贿的手段谋取中标的； </w:t>
      </w:r>
    </w:p>
    <w:p>
      <w:pPr>
        <w:shd w:val="clear"/>
        <w:spacing w:line="360" w:lineRule="exact"/>
        <w:ind w:firstLine="667" w:firstLineChars="318"/>
        <w:jc w:val="left"/>
        <w:rPr>
          <w:rFonts w:hint="eastAsia" w:ascii="宋体" w:hAnsi="宋体" w:eastAsia="宋体" w:cs="宋体"/>
          <w:szCs w:val="21"/>
          <w:highlight w:val="none"/>
        </w:rPr>
      </w:pPr>
      <w:r>
        <w:rPr>
          <w:rFonts w:hint="eastAsia" w:ascii="宋体" w:hAnsi="宋体" w:eastAsia="宋体" w:cs="宋体"/>
          <w:szCs w:val="21"/>
          <w:highlight w:val="none"/>
        </w:rPr>
        <w:t>（六）投标人以他人名义投标或者以其他方式弄虚作假，骗取中标的；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 （七）依法必须进行招标的项目，招标人违反法律规定，与投标人就投标价格、投标方案等实质性内容进行谈判的；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（八）评标委员会成员收受投标人的财物或者其他好处的，评标委员会成员或者参加评标的有关工作人员向他人透露对投标文件的评审和比较、中标候选人的推荐以及与评标有关的其他情况的； </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（九）招标人在评标委员会依法推荐的中标候选人以外确定中标人的，依法必须进行招标的项目在所有投标被评标委员会否决后自行确定中标人的； </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（十）中标人将中标项目转让给他人的，将中标项目肢解后分别转让给他人的，违反法律规定将中标项目的部分主体、关键性工作分包给他人的，或者分包人再次分包的； </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（十一）招标人与中标人不按照招标文件和中标人的投标文件订立合同的，或者招标人、中标人订立背离合同实质性内容的协议的； </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（十二）中标人不按照与招标人订立的合同履行义务，情节严重的； </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 （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 （十五）采购人对应当实行集中采购的政府采购项目，不委托集中采购机构实行集中采购的； </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（十六）采购人、采购代理机构违反法律规定隐匿、销毁应当保存的采购文件或者伪造、变造采购文件的； </w:t>
      </w:r>
    </w:p>
    <w:p>
      <w:pPr>
        <w:shd w:val="clear"/>
        <w:spacing w:line="360" w:lineRule="exact"/>
        <w:ind w:firstLine="645"/>
        <w:jc w:val="left"/>
        <w:rPr>
          <w:rFonts w:hint="eastAsia" w:ascii="宋体" w:hAnsi="宋体" w:eastAsia="宋体" w:cs="宋体"/>
          <w:szCs w:val="21"/>
          <w:highlight w:val="none"/>
        </w:rPr>
      </w:pPr>
      <w:r>
        <w:rPr>
          <w:rFonts w:hint="eastAsia" w:ascii="宋体" w:hAnsi="宋体" w:eastAsia="宋体" w:cs="宋体"/>
          <w:szCs w:val="21"/>
          <w:highlight w:val="none"/>
        </w:rPr>
        <w:t xml:space="preserve">（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 </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 xml:space="preserve">（十八）疫苗生产企业向县级疾病预防控制机构以外的单位或者个人销售第二类疫苗的； </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（十九）存在其他违反公共资源交易法律法规行为的。</w:t>
      </w:r>
    </w:p>
    <w:p>
      <w:pPr>
        <w:shd w:val="clear"/>
        <w:spacing w:line="360" w:lineRule="exact"/>
        <w:ind w:firstLine="670" w:firstLineChars="318"/>
        <w:jc w:val="left"/>
        <w:rPr>
          <w:rFonts w:hint="eastAsia" w:ascii="宋体" w:hAnsi="宋体" w:eastAsia="宋体" w:cs="宋体"/>
          <w:b/>
          <w:szCs w:val="21"/>
          <w:highlight w:val="none"/>
        </w:rPr>
      </w:pPr>
      <w:r>
        <w:rPr>
          <w:rFonts w:hint="eastAsia" w:ascii="宋体" w:hAnsi="宋体" w:eastAsia="宋体" w:cs="宋体"/>
          <w:b/>
          <w:szCs w:val="21"/>
          <w:highlight w:val="none"/>
        </w:rPr>
        <w:t>依据：《关于对公共资源交易领域严重失信主体开展联合惩戒的备忘录》（发改法规〔2018〕457号）</w:t>
      </w:r>
    </w:p>
    <w:p>
      <w:pPr>
        <w:shd w:val="clear"/>
        <w:spacing w:line="360" w:lineRule="exact"/>
        <w:ind w:firstLine="645"/>
        <w:jc w:val="left"/>
        <w:rPr>
          <w:rFonts w:hint="eastAsia" w:ascii="宋体" w:hAnsi="宋体" w:eastAsia="宋体" w:cs="宋体"/>
          <w:szCs w:val="21"/>
          <w:highlight w:val="none"/>
        </w:rPr>
      </w:pPr>
    </w:p>
    <w:p>
      <w:pPr>
        <w:shd w:val="clear"/>
        <w:spacing w:line="360" w:lineRule="exact"/>
        <w:ind w:firstLine="645"/>
        <w:jc w:val="left"/>
        <w:rPr>
          <w:rFonts w:hint="eastAsia" w:ascii="宋体" w:hAnsi="宋体" w:eastAsia="宋体" w:cs="宋体"/>
          <w:b/>
          <w:bCs/>
          <w:szCs w:val="21"/>
          <w:highlight w:val="none"/>
        </w:rPr>
      </w:pPr>
      <w:r>
        <w:rPr>
          <w:rFonts w:hint="eastAsia" w:ascii="宋体" w:hAnsi="宋体" w:eastAsia="宋体" w:cs="宋体"/>
          <w:b/>
          <w:szCs w:val="21"/>
          <w:highlight w:val="none"/>
        </w:rPr>
        <w:t>四、</w:t>
      </w:r>
      <w:r>
        <w:rPr>
          <w:rFonts w:hint="eastAsia" w:ascii="宋体" w:hAnsi="宋体" w:eastAsia="宋体" w:cs="宋体"/>
          <w:b/>
          <w:bCs/>
          <w:szCs w:val="21"/>
          <w:highlight w:val="none"/>
        </w:rPr>
        <w:t>社会保险领域严重失信行为</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 xml:space="preserve">（一）用人单位未按相关规定参加社会保险且拒不整改的； </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 xml:space="preserve">（二）用人单位未如实申报社会保险缴费基数且拒不整改的； </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 xml:space="preserve">（三）应缴纳社会保险费却拒不缴纳的； </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（四）隐匿、转移、侵占、挪用社会保险费款、基金或者违规投资运营的；</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 xml:space="preserve">（五）以欺诈、伪造证明材料或者其他手段参加、申报社会保险和骗取社会保险基金支出或社会保险待遇的； </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 xml:space="preserve">（六）非法获取、出售或变相交易社会保险个人权益数据的； </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 xml:space="preserve">（七）社会保险服务机构违反服务协议或相关规定的； </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 xml:space="preserve">（八）拒绝协助社会保险行政部门、经办机构对事故和问题进 行调查核实的；拒绝接受或协助税务部门对社会保险实施监督检查， 不如实提供与社会保险相关各项资料的； </w:t>
      </w:r>
    </w:p>
    <w:p>
      <w:pPr>
        <w:shd w:val="clear"/>
        <w:spacing w:line="360" w:lineRule="exact"/>
        <w:ind w:left="750" w:leftChars="307" w:hanging="105" w:hangingChars="50"/>
        <w:jc w:val="left"/>
        <w:rPr>
          <w:rFonts w:hint="eastAsia" w:ascii="宋体" w:hAnsi="宋体" w:eastAsia="宋体" w:cs="宋体"/>
          <w:szCs w:val="21"/>
          <w:highlight w:val="none"/>
        </w:rPr>
      </w:pPr>
      <w:r>
        <w:rPr>
          <w:rFonts w:hint="eastAsia" w:ascii="宋体" w:hAnsi="宋体" w:eastAsia="宋体" w:cs="宋体"/>
          <w:szCs w:val="21"/>
          <w:highlight w:val="none"/>
        </w:rPr>
        <w:t>（九）其他违反法律法规规定的。</w:t>
      </w:r>
    </w:p>
    <w:p>
      <w:pPr>
        <w:shd w:val="clear"/>
        <w:spacing w:line="360" w:lineRule="exact"/>
        <w:ind w:left="1140" w:leftChars="342" w:hanging="422" w:hangingChars="200"/>
        <w:jc w:val="left"/>
        <w:rPr>
          <w:rFonts w:hint="eastAsia" w:ascii="宋体" w:hAnsi="宋体" w:eastAsia="宋体" w:cs="宋体"/>
          <w:b/>
          <w:szCs w:val="21"/>
          <w:highlight w:val="none"/>
        </w:rPr>
      </w:pPr>
      <w:r>
        <w:rPr>
          <w:rFonts w:hint="eastAsia" w:ascii="宋体" w:hAnsi="宋体" w:eastAsia="宋体" w:cs="宋体"/>
          <w:b/>
          <w:szCs w:val="21"/>
          <w:highlight w:val="none"/>
        </w:rPr>
        <w:t>依据：《关于对社会保险领域严重失信企业及其有关人员实施联合惩戒的合作备忘录》（发改财金〔2018〕1704号）</w:t>
      </w:r>
    </w:p>
    <w:p>
      <w:pPr>
        <w:shd w:val="clear"/>
        <w:spacing w:line="360" w:lineRule="exact"/>
        <w:ind w:left="750" w:leftChars="307" w:hanging="105" w:hangingChars="50"/>
        <w:jc w:val="left"/>
        <w:rPr>
          <w:rFonts w:hint="eastAsia" w:ascii="宋体" w:hAnsi="宋体" w:eastAsia="宋体" w:cs="宋体"/>
          <w:szCs w:val="21"/>
          <w:highlight w:val="none"/>
        </w:rPr>
      </w:pPr>
    </w:p>
    <w:p>
      <w:pPr>
        <w:shd w:val="clear"/>
        <w:spacing w:line="360" w:lineRule="exact"/>
        <w:jc w:val="left"/>
        <w:rPr>
          <w:rFonts w:hint="eastAsia" w:ascii="宋体" w:hAnsi="宋体" w:eastAsia="宋体" w:cs="宋体"/>
          <w:b/>
          <w:bCs/>
          <w:szCs w:val="21"/>
          <w:highlight w:val="none"/>
        </w:rPr>
      </w:pPr>
      <w:r>
        <w:rPr>
          <w:rFonts w:hint="eastAsia" w:ascii="宋体" w:hAnsi="宋体" w:eastAsia="宋体" w:cs="宋体"/>
          <w:szCs w:val="21"/>
          <w:highlight w:val="none"/>
        </w:rPr>
        <w:t xml:space="preserve">     </w:t>
      </w:r>
      <w:r>
        <w:rPr>
          <w:rFonts w:hint="eastAsia" w:ascii="宋体" w:hAnsi="宋体" w:eastAsia="宋体" w:cs="宋体"/>
          <w:b/>
          <w:szCs w:val="21"/>
          <w:highlight w:val="none"/>
        </w:rPr>
        <w:t>五、建筑市场领域</w:t>
      </w:r>
      <w:r>
        <w:rPr>
          <w:rFonts w:hint="eastAsia" w:ascii="宋体" w:hAnsi="宋体" w:eastAsia="宋体" w:cs="宋体"/>
          <w:b/>
          <w:bCs/>
          <w:szCs w:val="21"/>
          <w:highlight w:val="none"/>
        </w:rPr>
        <w:t>严重失信行为</w:t>
      </w:r>
    </w:p>
    <w:p>
      <w:pPr>
        <w:shd w:val="clear"/>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（一）利用虚假材料、以欺骗手段取得企业资质的；</w:t>
      </w:r>
    </w:p>
    <w:p>
      <w:pPr>
        <w:shd w:val="clear"/>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（二）发生转包、出借资质，受到行政处罚的；</w:t>
      </w:r>
    </w:p>
    <w:p>
      <w:pPr>
        <w:shd w:val="clear"/>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（三）发生重大及以上工程质量安全事故，或1年内累计发生2次及以上较大工程质量安全事故，或发生性质恶劣、危害性严重、社会影响大的较大工程质量安全事故，受到行政处罚的；</w:t>
      </w:r>
    </w:p>
    <w:p>
      <w:pPr>
        <w:shd w:val="clear"/>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（四）经法院判决或仲裁机构裁决，认定为拖欠工程款,且拒不履行生效法律文书确定的义务的。</w:t>
      </w:r>
    </w:p>
    <w:p>
      <w:pPr>
        <w:shd w:val="clear"/>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各级住房城乡建设主管部门应当参照建筑市场主体“黑名单”，对被人力资源社会保障主管部门列入拖欠农民工工资“黑名单”的建筑市场各方主体加强监管。</w:t>
      </w:r>
    </w:p>
    <w:p>
      <w:pPr>
        <w:shd w:val="clear"/>
        <w:spacing w:line="360" w:lineRule="exact"/>
        <w:ind w:firstLine="422" w:firstLineChars="200"/>
        <w:jc w:val="left"/>
        <w:rPr>
          <w:rFonts w:hint="eastAsia" w:ascii="宋体" w:hAnsi="宋体" w:eastAsia="宋体" w:cs="宋体"/>
          <w:szCs w:val="21"/>
          <w:highlight w:val="none"/>
        </w:rPr>
      </w:pPr>
      <w:r>
        <w:rPr>
          <w:rFonts w:hint="eastAsia" w:ascii="宋体" w:hAnsi="宋体" w:eastAsia="宋体" w:cs="宋体"/>
          <w:b/>
          <w:szCs w:val="21"/>
          <w:highlight w:val="none"/>
        </w:rPr>
        <w:t>依据：《建筑市场信用管理暂行办法》（建市〔2017〕241号）</w:t>
      </w:r>
    </w:p>
    <w:p>
      <w:pPr>
        <w:shd w:val="clear"/>
        <w:spacing w:line="360" w:lineRule="exact"/>
        <w:ind w:firstLine="422" w:firstLineChars="200"/>
        <w:rPr>
          <w:rFonts w:hint="eastAsia" w:ascii="宋体" w:hAnsi="宋体" w:eastAsia="宋体" w:cs="宋体"/>
          <w:b/>
          <w:szCs w:val="21"/>
          <w:highlight w:val="none"/>
        </w:rPr>
      </w:pPr>
    </w:p>
    <w:p>
      <w:pPr>
        <w:shd w:val="clear"/>
        <w:spacing w:line="36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六、政府采购严重失信行为</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供应商、采购代理机构在三年内受到财政部门作出下列情形之一的行政处罚，列入政府采购严重违法失信行为记录名单。</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（一）三万元以上罚款；</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（二）在一至三年内禁止参加政府采购活动（处罚期限届满的除外）；</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（三）在一至三年内禁止代理政府采购业务（处罚期限届满的除外）；</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（四）撤销政府采购代理机构资格（仅针对《政府采购法》第78条修改前作出的处罚决定）。</w:t>
      </w:r>
    </w:p>
    <w:p>
      <w:pPr>
        <w:shd w:val="clear"/>
        <w:spacing w:line="360" w:lineRule="exact"/>
        <w:ind w:firstLine="422" w:firstLineChars="200"/>
        <w:jc w:val="left"/>
        <w:rPr>
          <w:rFonts w:hint="eastAsia" w:ascii="宋体" w:hAnsi="宋体" w:eastAsia="宋体" w:cs="宋体"/>
          <w:szCs w:val="21"/>
          <w:highlight w:val="none"/>
        </w:rPr>
      </w:pPr>
      <w:r>
        <w:rPr>
          <w:rFonts w:hint="eastAsia" w:ascii="宋体" w:hAnsi="宋体" w:eastAsia="宋体" w:cs="宋体"/>
          <w:b/>
          <w:bCs/>
          <w:szCs w:val="21"/>
          <w:highlight w:val="none"/>
        </w:rPr>
        <w:t>依据：《关于报送政府采购严重违法失信行为信息记录的通知》</w:t>
      </w:r>
      <w:r>
        <w:rPr>
          <w:rFonts w:hint="eastAsia" w:ascii="宋体" w:hAnsi="宋体" w:eastAsia="宋体" w:cs="宋体"/>
          <w:b/>
          <w:szCs w:val="21"/>
          <w:highlight w:val="none"/>
        </w:rPr>
        <w:t>（财办库〔2014〕526号）</w:t>
      </w:r>
    </w:p>
    <w:p>
      <w:pPr>
        <w:shd w:val="clear"/>
        <w:spacing w:line="360" w:lineRule="exact"/>
        <w:ind w:firstLine="615"/>
        <w:rPr>
          <w:rFonts w:hint="eastAsia" w:ascii="宋体" w:hAnsi="宋体" w:eastAsia="宋体" w:cs="宋体"/>
          <w:szCs w:val="21"/>
          <w:highlight w:val="none"/>
        </w:rPr>
      </w:pPr>
    </w:p>
    <w:p>
      <w:pPr>
        <w:shd w:val="clear"/>
        <w:spacing w:line="36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七、水利建设领域严重失信行为</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（一）1年内不良行为记录累计扣分达到20分的；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（二）"重点关注名单"公开期满后仍不整改的；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（三）存在以下严重危害人民群众身体健康、生命安全和工程质量，以及特别严重违规行为之一的：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1.发生重大、特大质量或安全事故，并负有直接责任的；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2.在单位公开信息、工程相关技术成果和工程建设过程中隐瞒真实情况、弄虚作假，提供虚假材料，谋取不正当利益的；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3.违反有关法律、法规、规章、政策、技术标准、设计文件、合同等有关规定开展工作造成的工程质量问题，经处理后仍影响工程正常使用或减少工程使用寿命的；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4.违反规定施工，造成生态环境严重破坏且拒不修复的；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5.被证实恶意制造工程质量缺陷或质量隐患的；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6.其他违反法律法规，造成严重后果或社会危害较大的。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（四）存在以下严重破坏市场公平竞争秩序和社会正常秩序行为之一的：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1.不按合同约定，恶意拖欠承包人项目款的；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2.隐瞒有关情况或者提供虚假材料申请资质的，在全国水利建设市场监管服务平台公开虚假信息的，以欺骗、贿赂等不正当手段取得资质等级证书的；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3.出借、借用资质证书,允许他人以本单位名义或借用他人名义等弄虚作假方式承揽业务的；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4.未取得相应资质或超越资质证书核定范围承揽业务的；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5.操纵招标过程，谋取不正当利益的；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6.与招标人或投标人串通投标的；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7.以向招标人或评标委员会成员行贿的手段谋取中标的；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8.中标后，无正当理由不签订合同的；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9.转包或违法分包所承揽业务的；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10.弄虚作假，以欺诈手段降低工程或设备质量的；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11.单位行贿、受贿，受到刑事处罚的；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12.逃税骗税、恶意逃废债务的；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13.参与非法集资，受到刑事处罚的；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14.在签订、履行合同过程中，存在合同欺诈行为，受到刑事处罚的；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15.虚构工程项目，套取资金的；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16.克扣、无故拖欠农民工工资报酬，数额达到认定拒不支付劳动报酬罪数额标准的；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17.发生社会公共事件，影响较大，并负有直接责任的。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（五）存在以下拒不履行法定义务，严重影响司法机关、行政机关公信力行为之一的：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1.发生事故拒绝接受调查或拒绝提供有关资料的；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2.拒不执行生效的行政处罚决定的；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3.拒不执行仲裁、法院判决结果的。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（六）被相关联合惩戒部门列入"黑名单"，符合联合惩戒措施的。</w:t>
      </w:r>
    </w:p>
    <w:p>
      <w:pPr>
        <w:shd w:val="clear"/>
        <w:spacing w:line="360" w:lineRule="exact"/>
        <w:ind w:firstLine="615"/>
        <w:rPr>
          <w:rFonts w:hint="eastAsia" w:ascii="宋体" w:hAnsi="宋体" w:eastAsia="宋体" w:cs="宋体"/>
          <w:szCs w:val="21"/>
          <w:highlight w:val="none"/>
        </w:rPr>
      </w:pPr>
      <w:r>
        <w:rPr>
          <w:rFonts w:hint="eastAsia" w:ascii="宋体" w:hAnsi="宋体" w:eastAsia="宋体" w:cs="宋体"/>
          <w:szCs w:val="21"/>
          <w:highlight w:val="none"/>
        </w:rPr>
        <w:t>生产建设项目水土保持市场主体"黑名单"列入标准见《水利建设市场主体信用信息管理办法》附件。</w:t>
      </w:r>
    </w:p>
    <w:p>
      <w:pPr>
        <w:shd w:val="clear"/>
        <w:spacing w:line="360" w:lineRule="exact"/>
        <w:ind w:firstLine="615"/>
        <w:rPr>
          <w:rFonts w:hint="eastAsia" w:ascii="宋体" w:hAnsi="宋体" w:eastAsia="宋体" w:cs="宋体"/>
          <w:b/>
          <w:bCs/>
          <w:szCs w:val="21"/>
          <w:highlight w:val="none"/>
        </w:rPr>
      </w:pPr>
      <w:r>
        <w:rPr>
          <w:rFonts w:hint="eastAsia" w:ascii="宋体" w:hAnsi="宋体" w:eastAsia="宋体" w:cs="宋体"/>
          <w:b/>
          <w:bCs/>
          <w:szCs w:val="21"/>
          <w:highlight w:val="none"/>
        </w:rPr>
        <w:t>依据：《水利建设市场主体信用评价管理办法》水建设〔2019〕307号、《水利建设市场主体信用信息管理办法》水建设〔2019〕306号</w:t>
      </w:r>
    </w:p>
    <w:p>
      <w:pPr>
        <w:shd w:val="clear"/>
        <w:spacing w:line="360" w:lineRule="exact"/>
        <w:ind w:firstLine="615"/>
        <w:rPr>
          <w:rFonts w:hint="eastAsia" w:ascii="宋体" w:hAnsi="宋体" w:eastAsia="宋体" w:cs="宋体"/>
          <w:szCs w:val="21"/>
          <w:highlight w:val="none"/>
        </w:rPr>
      </w:pPr>
    </w:p>
    <w:p>
      <w:pPr>
        <w:pStyle w:val="16"/>
        <w:ind w:left="0" w:leftChars="0" w:firstLine="0" w:firstLineChars="0"/>
        <w:rPr>
          <w:rFonts w:hint="eastAsia"/>
          <w:color w:val="auto"/>
          <w:highlight w:val="none"/>
          <w:lang w:val="en-US" w:eastAsia="zh-CN"/>
        </w:rPr>
      </w:pPr>
      <w:r>
        <w:rPr>
          <w:rFonts w:hint="eastAsia" w:ascii="宋体" w:hAnsi="宋体" w:eastAsia="宋体" w:cs="宋体"/>
          <w:b/>
          <w:szCs w:val="21"/>
          <w:highlight w:val="none"/>
        </w:rPr>
        <w:t>未列出的其他类别严重失信行为，由招标人（代理机构）根据各类别行业主管部门下发的联合惩戒文件进行判断。</w:t>
      </w:r>
    </w:p>
    <w:p>
      <w:pPr>
        <w:keepNext w:val="0"/>
        <w:keepLines w:val="0"/>
        <w:pageBreakBefore/>
        <w:widowControl w:val="0"/>
        <w:kinsoku/>
        <w:wordWrap/>
        <w:overflowPunct/>
        <w:topLinePunct w:val="0"/>
        <w:autoSpaceDE/>
        <w:autoSpaceDN/>
        <w:bidi w:val="0"/>
        <w:adjustRightInd/>
        <w:snapToGrid/>
        <w:jc w:val="center"/>
        <w:textAlignment w:val="auto"/>
        <w:rPr>
          <w:rFonts w:hint="default" w:ascii="宋体" w:hAnsi="宋体" w:cs="Arial"/>
          <w:b/>
          <w:bCs/>
          <w:color w:val="auto"/>
          <w:sz w:val="28"/>
          <w:szCs w:val="28"/>
          <w:highlight w:val="none"/>
          <w:lang w:val="en-US" w:eastAsia="zh-CN"/>
        </w:rPr>
      </w:pPr>
      <w:r>
        <w:rPr>
          <w:rFonts w:hint="eastAsia" w:ascii="宋体" w:hAnsi="宋体" w:cs="Arial"/>
          <w:b/>
          <w:bCs/>
          <w:color w:val="auto"/>
          <w:sz w:val="36"/>
          <w:szCs w:val="36"/>
          <w:highlight w:val="none"/>
          <w:lang w:val="en-US" w:eastAsia="zh-CN"/>
        </w:rPr>
        <w:t>第八章 采购单位、采购代理机构对本谈判文件的确认</w:t>
      </w:r>
    </w:p>
    <w:tbl>
      <w:tblPr>
        <w:tblStyle w:val="2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3" w:type="dxa"/>
          </w:tcPr>
          <w:p>
            <w:pPr>
              <w:spacing w:line="600" w:lineRule="exact"/>
              <w:rPr>
                <w:rFonts w:hint="eastAsia" w:ascii="宋体" w:hAnsi="宋体" w:cs="宋体"/>
                <w:color w:val="auto"/>
                <w:sz w:val="30"/>
                <w:szCs w:val="30"/>
                <w:highlight w:val="none"/>
              </w:rPr>
            </w:pPr>
          </w:p>
          <w:p>
            <w:pPr>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我单位对</w:t>
            </w:r>
            <w:r>
              <w:rPr>
                <w:rFonts w:hint="eastAsia" w:ascii="宋体" w:hAnsi="宋体" w:cs="宋体"/>
                <w:color w:val="auto"/>
                <w:sz w:val="30"/>
                <w:szCs w:val="30"/>
                <w:highlight w:val="none"/>
                <w:u w:val="single"/>
                <w:lang w:val="en-US" w:eastAsia="zh-CN"/>
              </w:rPr>
              <w:t xml:space="preserve"> 2024年滁州市妇幼保健计划生育服务中心新院区窗帘、纱窗采购项目 </w:t>
            </w:r>
            <w:r>
              <w:rPr>
                <w:rFonts w:hint="eastAsia" w:ascii="宋体" w:hAnsi="宋体" w:cs="宋体"/>
                <w:color w:val="auto"/>
                <w:sz w:val="30"/>
                <w:szCs w:val="30"/>
                <w:highlight w:val="none"/>
              </w:rPr>
              <w:t>的谈判文件进行确认。</w:t>
            </w:r>
          </w:p>
          <w:p>
            <w:pPr>
              <w:spacing w:line="600" w:lineRule="exact"/>
              <w:ind w:firstLine="600" w:firstLineChars="200"/>
              <w:jc w:val="left"/>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lang w:eastAsia="zh-CN"/>
              </w:rPr>
              <w:t>采购人：滁州市妇幼保健计划生育服务中心</w:t>
            </w:r>
          </w:p>
          <w:p>
            <w:pPr>
              <w:spacing w:line="600" w:lineRule="exact"/>
              <w:ind w:firstLine="600" w:firstLineChars="200"/>
              <w:jc w:val="left"/>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lang w:eastAsia="zh-CN"/>
              </w:rPr>
              <w:t>经办人：刁文婷</w:t>
            </w:r>
            <w:bookmarkStart w:id="998" w:name="_GoBack"/>
            <w:bookmarkEnd w:id="998"/>
          </w:p>
          <w:p>
            <w:pPr>
              <w:spacing w:line="600" w:lineRule="exact"/>
              <w:ind w:firstLine="600" w:firstLineChars="200"/>
              <w:jc w:val="left"/>
              <w:rPr>
                <w:rFonts w:hint="default" w:ascii="宋体" w:hAnsi="宋体" w:cs="宋体"/>
                <w:color w:val="auto"/>
                <w:kern w:val="0"/>
                <w:sz w:val="30"/>
                <w:szCs w:val="30"/>
                <w:highlight w:val="none"/>
                <w:lang w:val="en-US" w:eastAsia="zh-CN"/>
              </w:rPr>
            </w:pPr>
            <w:r>
              <w:rPr>
                <w:rFonts w:hint="eastAsia" w:ascii="宋体" w:hAnsi="宋体" w:cs="宋体"/>
                <w:color w:val="auto"/>
                <w:sz w:val="30"/>
                <w:szCs w:val="30"/>
                <w:highlight w:val="none"/>
                <w:lang w:eastAsia="zh-CN"/>
              </w:rPr>
              <w:t>联系方式：0550-30</w:t>
            </w:r>
            <w:r>
              <w:rPr>
                <w:rFonts w:hint="eastAsia" w:ascii="宋体" w:hAnsi="宋体" w:cs="宋体"/>
                <w:color w:val="auto"/>
                <w:sz w:val="30"/>
                <w:szCs w:val="30"/>
                <w:highlight w:val="none"/>
                <w:lang w:val="en-US" w:eastAsia="zh-CN"/>
              </w:rPr>
              <w:t>29385</w:t>
            </w:r>
          </w:p>
          <w:p>
            <w:pPr>
              <w:spacing w:line="600" w:lineRule="exact"/>
              <w:rPr>
                <w:rFonts w:hint="eastAsia" w:ascii="宋体" w:hAnsi="宋体" w:cs="宋体"/>
                <w:color w:val="auto"/>
                <w:sz w:val="30"/>
                <w:szCs w:val="30"/>
                <w:highlight w:val="none"/>
              </w:rPr>
            </w:pPr>
          </w:p>
          <w:p>
            <w:pPr>
              <w:spacing w:line="600" w:lineRule="exact"/>
              <w:ind w:firstLine="6300" w:firstLineChars="2100"/>
              <w:rPr>
                <w:rFonts w:hint="eastAsia" w:ascii="宋体" w:hAnsi="宋体" w:cs="宋体"/>
                <w:color w:val="auto"/>
                <w:sz w:val="30"/>
                <w:szCs w:val="30"/>
                <w:highlight w:val="none"/>
              </w:rPr>
            </w:pPr>
            <w:r>
              <w:rPr>
                <w:rFonts w:hint="eastAsia" w:ascii="宋体" w:hAnsi="宋体" w:cs="宋体"/>
                <w:color w:val="auto"/>
                <w:sz w:val="30"/>
                <w:szCs w:val="30"/>
                <w:highlight w:val="none"/>
              </w:rPr>
              <w:t>（单位盖章）</w:t>
            </w:r>
          </w:p>
          <w:p>
            <w:pPr>
              <w:pStyle w:val="7"/>
              <w:ind w:firstLine="6000" w:firstLineChars="2000"/>
              <w:rPr>
                <w:rFonts w:hint="eastAsia" w:ascii="宋体" w:hAnsi="宋体" w:cs="Arial"/>
                <w:b/>
                <w:bCs/>
                <w:color w:val="auto"/>
                <w:sz w:val="28"/>
                <w:szCs w:val="28"/>
                <w:highlight w:val="none"/>
                <w:vertAlign w:val="baseline"/>
                <w:lang w:val="en-US" w:eastAsia="zh-CN"/>
              </w:rPr>
            </w:pPr>
            <w:r>
              <w:rPr>
                <w:rFonts w:hint="eastAsia" w:ascii="宋体" w:hAnsi="宋体" w:eastAsia="宋体" w:cs="宋体"/>
                <w:b w:val="0"/>
                <w:bCs w:val="0"/>
                <w:color w:val="auto"/>
                <w:kern w:val="0"/>
                <w:sz w:val="30"/>
                <w:szCs w:val="30"/>
                <w:highlight w:val="none"/>
                <w:lang w:val="en-US" w:eastAsia="zh-CN" w:bidi="ar-SA"/>
              </w:rPr>
              <w:t xml:space="preserve">  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9173" w:type="dxa"/>
          </w:tcPr>
          <w:p>
            <w:pPr>
              <w:spacing w:line="360" w:lineRule="auto"/>
              <w:ind w:firstLine="600" w:firstLineChars="200"/>
              <w:rPr>
                <w:rFonts w:hint="eastAsia" w:ascii="宋体" w:hAnsi="宋体" w:cs="宋体"/>
                <w:color w:val="auto"/>
                <w:sz w:val="30"/>
                <w:szCs w:val="30"/>
                <w:highlight w:val="none"/>
                <w:lang w:eastAsia="zh-CN"/>
              </w:rPr>
            </w:pPr>
          </w:p>
          <w:p>
            <w:pPr>
              <w:spacing w:line="360" w:lineRule="auto"/>
              <w:ind w:firstLine="600" w:firstLineChars="200"/>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lang w:eastAsia="zh-CN"/>
              </w:rPr>
              <w:t>采购代理机构</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安徽立地工程咨询有限公司</w:t>
            </w:r>
          </w:p>
          <w:p>
            <w:pPr>
              <w:spacing w:line="360" w:lineRule="auto"/>
              <w:ind w:firstLine="600" w:firstLineChars="200"/>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rPr>
              <w:t>项目负责人：</w:t>
            </w:r>
            <w:r>
              <w:rPr>
                <w:rFonts w:hint="eastAsia" w:ascii="宋体" w:hAnsi="宋体" w:cs="宋体"/>
                <w:color w:val="auto"/>
                <w:sz w:val="30"/>
                <w:szCs w:val="30"/>
                <w:highlight w:val="none"/>
                <w:lang w:val="en-US" w:eastAsia="zh-CN"/>
              </w:rPr>
              <w:t>曾工</w:t>
            </w:r>
          </w:p>
          <w:p>
            <w:pPr>
              <w:spacing w:line="360" w:lineRule="auto"/>
              <w:ind w:firstLine="600" w:firstLineChars="200"/>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rPr>
              <w:t>联系电话：</w:t>
            </w:r>
            <w:r>
              <w:rPr>
                <w:rFonts w:hint="eastAsia" w:ascii="宋体" w:hAnsi="宋体" w:cs="宋体"/>
                <w:color w:val="auto"/>
                <w:sz w:val="30"/>
                <w:szCs w:val="30"/>
                <w:highlight w:val="none"/>
                <w:lang w:val="en-US" w:eastAsia="zh-CN"/>
              </w:rPr>
              <w:t>18755015380</w:t>
            </w:r>
          </w:p>
          <w:p>
            <w:pPr>
              <w:spacing w:line="500" w:lineRule="exact"/>
              <w:rPr>
                <w:rFonts w:hint="eastAsia" w:ascii="宋体" w:hAnsi="宋体" w:cs="宋体"/>
                <w:color w:val="auto"/>
                <w:sz w:val="30"/>
                <w:szCs w:val="30"/>
                <w:highlight w:val="none"/>
              </w:rPr>
            </w:pPr>
          </w:p>
          <w:p>
            <w:pPr>
              <w:spacing w:line="500" w:lineRule="exact"/>
              <w:ind w:firstLine="300" w:firstLineChars="100"/>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（单位盖章）</w:t>
            </w:r>
          </w:p>
          <w:p>
            <w:pPr>
              <w:pStyle w:val="7"/>
              <w:ind w:firstLine="6000" w:firstLineChars="2000"/>
              <w:rPr>
                <w:rFonts w:hint="eastAsia" w:ascii="宋体" w:hAnsi="宋体" w:cs="Arial"/>
                <w:b/>
                <w:bCs/>
                <w:color w:val="auto"/>
                <w:sz w:val="28"/>
                <w:szCs w:val="28"/>
                <w:highlight w:val="none"/>
                <w:vertAlign w:val="baseline"/>
                <w:lang w:val="en-US" w:eastAsia="zh-CN"/>
              </w:rPr>
            </w:pPr>
            <w:r>
              <w:rPr>
                <w:rFonts w:hint="eastAsia" w:ascii="宋体" w:hAnsi="宋体" w:eastAsia="宋体" w:cs="宋体"/>
                <w:b w:val="0"/>
                <w:bCs w:val="0"/>
                <w:color w:val="auto"/>
                <w:kern w:val="0"/>
                <w:sz w:val="30"/>
                <w:szCs w:val="30"/>
                <w:highlight w:val="none"/>
                <w:lang w:val="en-US" w:eastAsia="zh-CN" w:bidi="ar-SA"/>
              </w:rPr>
              <w:t xml:space="preserve">  2024年7月</w:t>
            </w:r>
          </w:p>
        </w:tc>
      </w:tr>
    </w:tbl>
    <w:p>
      <w:pPr>
        <w:keepNext w:val="0"/>
        <w:keepLines w:val="0"/>
        <w:pageBreakBefore w:val="0"/>
        <w:widowControl w:val="0"/>
        <w:tabs>
          <w:tab w:val="left" w:pos="5676"/>
        </w:tabs>
        <w:kinsoku/>
        <w:wordWrap/>
        <w:overflowPunct/>
        <w:topLinePunct w:val="0"/>
        <w:autoSpaceDE/>
        <w:autoSpaceDN/>
        <w:bidi w:val="0"/>
        <w:adjustRightInd/>
        <w:snapToGrid/>
        <w:spacing w:line="360" w:lineRule="exact"/>
        <w:jc w:val="left"/>
        <w:textAlignment w:val="auto"/>
        <w:rPr>
          <w:rFonts w:hint="eastAsia" w:ascii="宋体" w:hAnsi="宋体" w:cs="宋体"/>
          <w:color w:val="auto"/>
          <w:highlight w:val="none"/>
        </w:rPr>
      </w:pPr>
    </w:p>
    <w:sectPr>
      <w:pgSz w:w="11906" w:h="16838"/>
      <w:pgMar w:top="1134" w:right="1417" w:bottom="1134" w:left="1417" w:header="680" w:footer="68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6ACF4"/>
    <w:multiLevelType w:val="singleLevel"/>
    <w:tmpl w:val="C056ACF4"/>
    <w:lvl w:ilvl="0" w:tentative="0">
      <w:start w:val="4"/>
      <w:numFmt w:val="decimal"/>
      <w:lvlText w:val="%1."/>
      <w:lvlJc w:val="left"/>
      <w:pPr>
        <w:tabs>
          <w:tab w:val="left" w:pos="312"/>
        </w:tabs>
      </w:pPr>
    </w:lvl>
  </w:abstractNum>
  <w:abstractNum w:abstractNumId="1">
    <w:nsid w:val="D3BAA59F"/>
    <w:multiLevelType w:val="singleLevel"/>
    <w:tmpl w:val="D3BAA59F"/>
    <w:lvl w:ilvl="0" w:tentative="0">
      <w:start w:val="1"/>
      <w:numFmt w:val="chineseCounting"/>
      <w:suff w:val="space"/>
      <w:lvlText w:val="第%1章"/>
      <w:lvlJc w:val="left"/>
      <w:rPr>
        <w:rFonts w:hint="eastAsia"/>
      </w:rPr>
    </w:lvl>
  </w:abstractNum>
  <w:abstractNum w:abstractNumId="2">
    <w:nsid w:val="DF10255B"/>
    <w:multiLevelType w:val="singleLevel"/>
    <w:tmpl w:val="DF10255B"/>
    <w:lvl w:ilvl="0" w:tentative="0">
      <w:start w:val="1"/>
      <w:numFmt w:val="decimal"/>
      <w:suff w:val="nothing"/>
      <w:lvlText w:val="%1、"/>
      <w:lvlJc w:val="left"/>
    </w:lvl>
  </w:abstractNum>
  <w:abstractNum w:abstractNumId="3">
    <w:nsid w:val="00000005"/>
    <w:multiLevelType w:val="multilevel"/>
    <w:tmpl w:val="00000005"/>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318A352D"/>
    <w:multiLevelType w:val="singleLevel"/>
    <w:tmpl w:val="318A352D"/>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ODk2ZTA2MzllZThmNjhmMjk3MWRlZTFmNzdjOGMifQ=="/>
  </w:docVars>
  <w:rsids>
    <w:rsidRoot w:val="09E070C2"/>
    <w:rsid w:val="004C5468"/>
    <w:rsid w:val="011C3FAA"/>
    <w:rsid w:val="0187402D"/>
    <w:rsid w:val="03BC7892"/>
    <w:rsid w:val="047211D2"/>
    <w:rsid w:val="04F74261"/>
    <w:rsid w:val="05B762FD"/>
    <w:rsid w:val="05FA5231"/>
    <w:rsid w:val="060504C5"/>
    <w:rsid w:val="077C69D0"/>
    <w:rsid w:val="08262C82"/>
    <w:rsid w:val="085F360E"/>
    <w:rsid w:val="087F3AC7"/>
    <w:rsid w:val="08EA7D25"/>
    <w:rsid w:val="090514D2"/>
    <w:rsid w:val="092B2505"/>
    <w:rsid w:val="09E070C2"/>
    <w:rsid w:val="0AED1ED8"/>
    <w:rsid w:val="0B363A39"/>
    <w:rsid w:val="0BE91E2C"/>
    <w:rsid w:val="0CB952B6"/>
    <w:rsid w:val="0CF17D43"/>
    <w:rsid w:val="0D1D1C06"/>
    <w:rsid w:val="0D60583F"/>
    <w:rsid w:val="0E576B35"/>
    <w:rsid w:val="0F35720E"/>
    <w:rsid w:val="0F85215E"/>
    <w:rsid w:val="109E7D59"/>
    <w:rsid w:val="10C83369"/>
    <w:rsid w:val="11963E18"/>
    <w:rsid w:val="11996845"/>
    <w:rsid w:val="14D31514"/>
    <w:rsid w:val="15915ED4"/>
    <w:rsid w:val="16730C17"/>
    <w:rsid w:val="1754574E"/>
    <w:rsid w:val="1A44174B"/>
    <w:rsid w:val="1BC43F62"/>
    <w:rsid w:val="1CE95ECD"/>
    <w:rsid w:val="1D3C52A4"/>
    <w:rsid w:val="1E5C7842"/>
    <w:rsid w:val="1ECB0002"/>
    <w:rsid w:val="20915ED7"/>
    <w:rsid w:val="20926AB9"/>
    <w:rsid w:val="22637214"/>
    <w:rsid w:val="245656F7"/>
    <w:rsid w:val="271F61D0"/>
    <w:rsid w:val="273A72C8"/>
    <w:rsid w:val="29CF49C7"/>
    <w:rsid w:val="2C773C74"/>
    <w:rsid w:val="2C7D5743"/>
    <w:rsid w:val="2D0839C4"/>
    <w:rsid w:val="2DCF4AF6"/>
    <w:rsid w:val="2E0423DE"/>
    <w:rsid w:val="2E796B7F"/>
    <w:rsid w:val="2F8F5CD7"/>
    <w:rsid w:val="317524A0"/>
    <w:rsid w:val="32882014"/>
    <w:rsid w:val="337139DC"/>
    <w:rsid w:val="35362BCF"/>
    <w:rsid w:val="375E2906"/>
    <w:rsid w:val="3AF95FD5"/>
    <w:rsid w:val="3CC912BD"/>
    <w:rsid w:val="3D206F2C"/>
    <w:rsid w:val="3E0E0440"/>
    <w:rsid w:val="3F132F8C"/>
    <w:rsid w:val="3F626313"/>
    <w:rsid w:val="3FB97F23"/>
    <w:rsid w:val="41340B7B"/>
    <w:rsid w:val="41F47DA8"/>
    <w:rsid w:val="428F398F"/>
    <w:rsid w:val="42C57FCA"/>
    <w:rsid w:val="43041806"/>
    <w:rsid w:val="432501C7"/>
    <w:rsid w:val="432909EC"/>
    <w:rsid w:val="45206BC0"/>
    <w:rsid w:val="46C518B9"/>
    <w:rsid w:val="46C979CE"/>
    <w:rsid w:val="473C0D36"/>
    <w:rsid w:val="479F5E9A"/>
    <w:rsid w:val="49B220EB"/>
    <w:rsid w:val="4AD0548C"/>
    <w:rsid w:val="4C1C049B"/>
    <w:rsid w:val="4C2757BD"/>
    <w:rsid w:val="4DE70CD4"/>
    <w:rsid w:val="4EAA72A2"/>
    <w:rsid w:val="4EF32D9B"/>
    <w:rsid w:val="4F737181"/>
    <w:rsid w:val="4FAB0F38"/>
    <w:rsid w:val="4FBD1F95"/>
    <w:rsid w:val="50994497"/>
    <w:rsid w:val="50F87728"/>
    <w:rsid w:val="522A2C4D"/>
    <w:rsid w:val="5239284C"/>
    <w:rsid w:val="53B65679"/>
    <w:rsid w:val="561C0B6B"/>
    <w:rsid w:val="579B1456"/>
    <w:rsid w:val="586718F1"/>
    <w:rsid w:val="59532CD9"/>
    <w:rsid w:val="599E4DF3"/>
    <w:rsid w:val="5CAE52F8"/>
    <w:rsid w:val="5DE5129A"/>
    <w:rsid w:val="5E622033"/>
    <w:rsid w:val="5EBB0FE7"/>
    <w:rsid w:val="60245479"/>
    <w:rsid w:val="623157B4"/>
    <w:rsid w:val="62B25430"/>
    <w:rsid w:val="63335D92"/>
    <w:rsid w:val="64376D06"/>
    <w:rsid w:val="645C7B76"/>
    <w:rsid w:val="67112E9A"/>
    <w:rsid w:val="676474F9"/>
    <w:rsid w:val="67C15E02"/>
    <w:rsid w:val="67CF3401"/>
    <w:rsid w:val="692E276D"/>
    <w:rsid w:val="6A5D0B8E"/>
    <w:rsid w:val="6A745C1A"/>
    <w:rsid w:val="6A8D0A8A"/>
    <w:rsid w:val="6AB6214E"/>
    <w:rsid w:val="6AC03306"/>
    <w:rsid w:val="6ACA72D2"/>
    <w:rsid w:val="6AE02474"/>
    <w:rsid w:val="6BBA3B00"/>
    <w:rsid w:val="6D196605"/>
    <w:rsid w:val="6D1B34D5"/>
    <w:rsid w:val="6D3738CD"/>
    <w:rsid w:val="6DCF760B"/>
    <w:rsid w:val="6E094381"/>
    <w:rsid w:val="6E645FA5"/>
    <w:rsid w:val="6E67598B"/>
    <w:rsid w:val="6F00103F"/>
    <w:rsid w:val="6F144E84"/>
    <w:rsid w:val="6F9A11E1"/>
    <w:rsid w:val="70C5647C"/>
    <w:rsid w:val="70DE203F"/>
    <w:rsid w:val="71025575"/>
    <w:rsid w:val="71E10CF2"/>
    <w:rsid w:val="74BB61F3"/>
    <w:rsid w:val="76BB697E"/>
    <w:rsid w:val="77514364"/>
    <w:rsid w:val="77B826E4"/>
    <w:rsid w:val="780330E8"/>
    <w:rsid w:val="789C5FAD"/>
    <w:rsid w:val="789E0306"/>
    <w:rsid w:val="78B940DA"/>
    <w:rsid w:val="79A429F8"/>
    <w:rsid w:val="7A2B6D70"/>
    <w:rsid w:val="7A7B08FF"/>
    <w:rsid w:val="7B76746D"/>
    <w:rsid w:val="7B855D58"/>
    <w:rsid w:val="7B987C52"/>
    <w:rsid w:val="7C65313B"/>
    <w:rsid w:val="7CE65DD7"/>
    <w:rsid w:val="7CF54472"/>
    <w:rsid w:val="7D5D078F"/>
    <w:rsid w:val="7D672CB8"/>
    <w:rsid w:val="7DD51BBF"/>
    <w:rsid w:val="7DFD469C"/>
    <w:rsid w:val="7E0C7AC0"/>
    <w:rsid w:val="7E152063"/>
    <w:rsid w:val="7E394D59"/>
    <w:rsid w:val="7E8E4945"/>
    <w:rsid w:val="7F0A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autoRedefine/>
    <w:qFormat/>
    <w:uiPriority w:val="0"/>
    <w:pPr>
      <w:keepNext/>
      <w:keepLines/>
      <w:spacing w:before="340" w:beforeLines="0" w:after="330" w:afterLines="0" w:line="578" w:lineRule="auto"/>
      <w:jc w:val="center"/>
      <w:outlineLvl w:val="0"/>
    </w:pPr>
    <w:rPr>
      <w:b/>
      <w:bCs/>
      <w:kern w:val="44"/>
      <w:sz w:val="44"/>
      <w:szCs w:val="44"/>
    </w:rPr>
  </w:style>
  <w:style w:type="paragraph" w:styleId="7">
    <w:name w:val="heading 2"/>
    <w:basedOn w:val="1"/>
    <w:next w:val="8"/>
    <w:autoRedefine/>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9">
    <w:name w:val="heading 3"/>
    <w:basedOn w:val="1"/>
    <w:next w:val="1"/>
    <w:autoRedefine/>
    <w:qFormat/>
    <w:uiPriority w:val="0"/>
    <w:pPr>
      <w:keepNext/>
      <w:keepLines/>
      <w:spacing w:before="260" w:beforeLines="0" w:after="260" w:afterLines="0" w:line="416" w:lineRule="auto"/>
      <w:outlineLvl w:val="2"/>
    </w:pPr>
    <w:rPr>
      <w:rFonts w:ascii="Calibri" w:hAnsi="Calibri" w:eastAsia="宋体" w:cs="Calibri"/>
      <w:b/>
      <w:bCs/>
      <w:kern w:val="2"/>
      <w:sz w:val="32"/>
      <w:szCs w:val="32"/>
      <w:lang w:val="en-US" w:eastAsia="zh-CN" w:bidi="ar-SA"/>
    </w:rPr>
  </w:style>
  <w:style w:type="paragraph" w:styleId="10">
    <w:name w:val="heading 4"/>
    <w:basedOn w:val="1"/>
    <w:next w:val="1"/>
    <w:autoRedefine/>
    <w:qFormat/>
    <w:uiPriority w:val="0"/>
    <w:pPr>
      <w:keepNext/>
      <w:keepLines/>
      <w:spacing w:before="280" w:beforeLines="0" w:after="290" w:afterLines="0" w:line="376" w:lineRule="auto"/>
      <w:outlineLvl w:val="3"/>
    </w:pPr>
    <w:rPr>
      <w:rFonts w:ascii="Cambria" w:hAnsi="Cambria" w:eastAsia="宋体" w:cs="Cambria"/>
      <w:b/>
      <w:bCs/>
      <w:kern w:val="2"/>
      <w:sz w:val="28"/>
      <w:szCs w:val="28"/>
      <w:lang w:val="en-US" w:eastAsia="zh-CN" w:bidi="ar-SA"/>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eastAsia="宋体"/>
      <w:sz w:val="21"/>
      <w:szCs w:val="20"/>
    </w:rPr>
  </w:style>
  <w:style w:type="paragraph" w:styleId="3">
    <w:name w:val="Body Text Indent"/>
    <w:basedOn w:val="1"/>
    <w:next w:val="4"/>
    <w:qFormat/>
    <w:uiPriority w:val="0"/>
    <w:pPr>
      <w:ind w:firstLine="600" w:firstLineChars="200"/>
    </w:pPr>
    <w:rPr>
      <w:rFonts w:ascii="宋体"/>
      <w:sz w:val="30"/>
      <w:szCs w:val="20"/>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8">
    <w:name w:val="Normal Indent"/>
    <w:basedOn w:val="1"/>
    <w:qFormat/>
    <w:uiPriority w:val="0"/>
    <w:pPr>
      <w:adjustRightInd w:val="0"/>
      <w:spacing w:line="360" w:lineRule="atLeast"/>
      <w:ind w:firstLine="482"/>
      <w:textAlignment w:val="baseline"/>
    </w:pPr>
    <w:rPr>
      <w:kern w:val="0"/>
      <w:sz w:val="24"/>
      <w:szCs w:val="20"/>
    </w:rPr>
  </w:style>
  <w:style w:type="paragraph" w:styleId="11">
    <w:name w:val="Body Text 3"/>
    <w:basedOn w:val="1"/>
    <w:qFormat/>
    <w:uiPriority w:val="0"/>
    <w:rPr>
      <w:rFonts w:ascii="宋体"/>
      <w:sz w:val="24"/>
      <w:szCs w:val="20"/>
    </w:rPr>
  </w:style>
  <w:style w:type="paragraph" w:styleId="12">
    <w:name w:val="Body Text"/>
    <w:basedOn w:val="1"/>
    <w:qFormat/>
    <w:uiPriority w:val="0"/>
    <w:pPr>
      <w:pBdr>
        <w:top w:val="single" w:color="auto" w:sz="4" w:space="1"/>
      </w:pBdr>
    </w:pPr>
    <w:rPr>
      <w:b/>
      <w:bCs/>
    </w:rPr>
  </w:style>
  <w:style w:type="paragraph" w:styleId="13">
    <w:name w:val="toc 3"/>
    <w:basedOn w:val="1"/>
    <w:next w:val="1"/>
    <w:autoRedefine/>
    <w:qFormat/>
    <w:uiPriority w:val="0"/>
    <w:pPr>
      <w:ind w:left="840" w:leftChars="400"/>
    </w:pPr>
  </w:style>
  <w:style w:type="paragraph" w:styleId="14">
    <w:name w:val="Plain Text"/>
    <w:basedOn w:val="1"/>
    <w:next w:val="1"/>
    <w:autoRedefine/>
    <w:qFormat/>
    <w:uiPriority w:val="0"/>
    <w:rPr>
      <w:rFonts w:ascii="宋体" w:hAnsi="Courier New" w:eastAsia="宋体"/>
      <w:kern w:val="2"/>
      <w:sz w:val="21"/>
      <w:lang w:val="en-US" w:eastAsia="zh-CN" w:bidi="ar-SA"/>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line="360" w:lineRule="exact"/>
      <w:ind w:firstLine="600" w:firstLineChars="250"/>
      <w:jc w:val="left"/>
    </w:pPr>
    <w:rPr>
      <w:sz w:val="24"/>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777"/>
      </w:tabs>
      <w:spacing w:line="320" w:lineRule="exact"/>
    </w:pPr>
    <w:rPr>
      <w:rFonts w:ascii="黑体" w:hAnsi="宋体" w:eastAsia="黑体"/>
      <w:b/>
      <w:sz w:val="28"/>
      <w:szCs w:val="28"/>
    </w:rPr>
  </w:style>
  <w:style w:type="paragraph" w:styleId="20">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1">
    <w:name w:val="toc 2"/>
    <w:basedOn w:val="1"/>
    <w:next w:val="1"/>
    <w:qFormat/>
    <w:uiPriority w:val="39"/>
    <w:pPr>
      <w:ind w:left="420" w:leftChars="200"/>
    </w:pPr>
  </w:style>
  <w:style w:type="paragraph" w:styleId="22">
    <w:name w:val="Normal (Web)"/>
    <w:basedOn w:val="1"/>
    <w:next w:val="1"/>
    <w:qFormat/>
    <w:uiPriority w:val="0"/>
    <w:pPr>
      <w:widowControl/>
      <w:jc w:val="left"/>
    </w:pPr>
    <w:rPr>
      <w:rFonts w:ascii="宋体" w:hAnsi="宋体" w:cs="宋体"/>
      <w:kern w:val="0"/>
      <w:sz w:val="18"/>
      <w:szCs w:val="1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qFormat/>
    <w:uiPriority w:val="99"/>
    <w:rPr>
      <w:color w:val="333333"/>
      <w:u w:val="non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style>
  <w:style w:type="character" w:styleId="36">
    <w:name w:val="HTML Keyboard"/>
    <w:basedOn w:val="25"/>
    <w:autoRedefine/>
    <w:qFormat/>
    <w:uiPriority w:val="0"/>
    <w:rPr>
      <w:rFonts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rPr>
  </w:style>
  <w:style w:type="paragraph" w:customStyle="1" w:styleId="38">
    <w:name w:val="正文 New"/>
    <w:unhideWhenUsed/>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39">
    <w:name w:val="正文文字 8"/>
    <w:basedOn w:val="1"/>
    <w:next w:val="1"/>
    <w:qFormat/>
    <w:uiPriority w:val="0"/>
    <w:pPr>
      <w:ind w:left="240"/>
    </w:pPr>
    <w:rPr>
      <w:sz w:val="16"/>
    </w:rPr>
  </w:style>
  <w:style w:type="paragraph" w:customStyle="1" w:styleId="40">
    <w:name w:val="p0"/>
    <w:basedOn w:val="1"/>
    <w:qFormat/>
    <w:uiPriority w:val="0"/>
    <w:pPr>
      <w:widowControl/>
    </w:pPr>
    <w:rPr>
      <w:kern w:val="0"/>
      <w:szCs w:val="21"/>
    </w:rPr>
  </w:style>
  <w:style w:type="paragraph" w:customStyle="1" w:styleId="41">
    <w:name w:val="Table Paragraph"/>
    <w:basedOn w:val="1"/>
    <w:qFormat/>
    <w:uiPriority w:val="1"/>
    <w:rPr>
      <w:rFonts w:ascii="宋体" w:hAnsi="宋体" w:cs="宋体"/>
      <w:lang w:val="zh-CN" w:bidi="zh-CN"/>
    </w:rPr>
  </w:style>
  <w:style w:type="paragraph" w:customStyle="1" w:styleId="42">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character" w:customStyle="1" w:styleId="43">
    <w:name w:val="layui-this"/>
    <w:basedOn w:val="25"/>
    <w:qFormat/>
    <w:uiPriority w:val="0"/>
    <w:rPr>
      <w:bdr w:val="single" w:color="EEEEEE" w:sz="6" w:space="0"/>
      <w:shd w:val="clear" w:fill="FFFFFF"/>
    </w:rPr>
  </w:style>
  <w:style w:type="character" w:customStyle="1" w:styleId="44">
    <w:name w:val="first-child1"/>
    <w:basedOn w:val="25"/>
    <w:qFormat/>
    <w:uiPriority w:val="0"/>
  </w:style>
  <w:style w:type="character" w:customStyle="1" w:styleId="45">
    <w:name w:val="first-child"/>
    <w:basedOn w:val="25"/>
    <w:qFormat/>
    <w:uiPriority w:val="0"/>
  </w:style>
  <w:style w:type="character" w:customStyle="1" w:styleId="46">
    <w:name w:val="cfdate"/>
    <w:basedOn w:val="25"/>
    <w:qFormat/>
    <w:uiPriority w:val="0"/>
    <w:rPr>
      <w:color w:val="333333"/>
      <w:sz w:val="18"/>
      <w:szCs w:val="18"/>
    </w:rPr>
  </w:style>
  <w:style w:type="character" w:customStyle="1" w:styleId="47">
    <w:name w:val="qxdate"/>
    <w:basedOn w:val="25"/>
    <w:qFormat/>
    <w:uiPriority w:val="0"/>
    <w:rPr>
      <w:color w:val="333333"/>
      <w:sz w:val="18"/>
      <w:szCs w:val="18"/>
    </w:rPr>
  </w:style>
  <w:style w:type="character" w:customStyle="1" w:styleId="48">
    <w:name w:val="next2"/>
    <w:basedOn w:val="25"/>
    <w:qFormat/>
    <w:uiPriority w:val="0"/>
    <w:rPr>
      <w:color w:val="888888"/>
    </w:rPr>
  </w:style>
  <w:style w:type="character" w:customStyle="1" w:styleId="49">
    <w:name w:val="next3"/>
    <w:basedOn w:val="25"/>
    <w:qFormat/>
    <w:uiPriority w:val="0"/>
    <w:rPr>
      <w:rFonts w:ascii="微软雅黑" w:hAnsi="微软雅黑" w:eastAsia="微软雅黑" w:cs="微软雅黑"/>
      <w:sz w:val="21"/>
      <w:szCs w:val="21"/>
    </w:rPr>
  </w:style>
  <w:style w:type="character" w:customStyle="1" w:styleId="50">
    <w:name w:val="displayarti"/>
    <w:basedOn w:val="25"/>
    <w:qFormat/>
    <w:uiPriority w:val="0"/>
    <w:rPr>
      <w:color w:val="FFFFFF"/>
      <w:shd w:val="clear" w:fill="A00000"/>
    </w:rPr>
  </w:style>
  <w:style w:type="character" w:customStyle="1" w:styleId="51">
    <w:name w:val="prev"/>
    <w:basedOn w:val="25"/>
    <w:qFormat/>
    <w:uiPriority w:val="0"/>
    <w:rPr>
      <w:color w:val="888888"/>
    </w:rPr>
  </w:style>
  <w:style w:type="character" w:customStyle="1" w:styleId="52">
    <w:name w:val="prev1"/>
    <w:basedOn w:val="25"/>
    <w:qFormat/>
    <w:uiPriority w:val="0"/>
    <w:rPr>
      <w:rFonts w:hint="eastAsia" w:ascii="微软雅黑" w:hAnsi="微软雅黑" w:eastAsia="微软雅黑" w:cs="微软雅黑"/>
      <w:sz w:val="21"/>
      <w:szCs w:val="21"/>
    </w:rPr>
  </w:style>
  <w:style w:type="character" w:customStyle="1" w:styleId="53">
    <w:name w:val="redfilenumber"/>
    <w:basedOn w:val="25"/>
    <w:qFormat/>
    <w:uiPriority w:val="0"/>
    <w:rPr>
      <w:color w:val="BA2636"/>
      <w:sz w:val="18"/>
      <w:szCs w:val="18"/>
    </w:rPr>
  </w:style>
  <w:style w:type="character" w:customStyle="1" w:styleId="54">
    <w:name w:val="redfilefwwh"/>
    <w:basedOn w:val="25"/>
    <w:qFormat/>
    <w:uiPriority w:val="0"/>
    <w:rPr>
      <w:color w:val="BA2636"/>
      <w:sz w:val="18"/>
      <w:szCs w:val="18"/>
    </w:rPr>
  </w:style>
  <w:style w:type="character" w:customStyle="1" w:styleId="55">
    <w:name w:val="gjfg"/>
    <w:basedOn w:val="25"/>
    <w:qFormat/>
    <w:uiPriority w:val="0"/>
  </w:style>
  <w:style w:type="character" w:customStyle="1" w:styleId="56">
    <w:name w:val="tit6"/>
    <w:basedOn w:val="25"/>
    <w:qFormat/>
    <w:uiPriority w:val="0"/>
    <w:rPr>
      <w:b/>
      <w:bCs/>
      <w:color w:val="333333"/>
      <w:sz w:val="24"/>
      <w:szCs w:val="24"/>
    </w:rPr>
  </w:style>
  <w:style w:type="character" w:customStyle="1" w:styleId="57">
    <w:name w:val="c1"/>
    <w:basedOn w:val="25"/>
    <w:qFormat/>
    <w:uiPriority w:val="0"/>
  </w:style>
  <w:style w:type="character" w:customStyle="1" w:styleId="58">
    <w:name w:val="buvis"/>
    <w:basedOn w:val="25"/>
    <w:qFormat/>
    <w:uiPriority w:val="0"/>
    <w:rPr>
      <w:color w:val="999999"/>
    </w:rPr>
  </w:style>
  <w:style w:type="character" w:customStyle="1" w:styleId="59">
    <w:name w:val="buvis1"/>
    <w:basedOn w:val="25"/>
    <w:qFormat/>
    <w:uiPriority w:val="0"/>
    <w:rPr>
      <w:color w:val="CC0000"/>
    </w:rPr>
  </w:style>
  <w:style w:type="character" w:customStyle="1" w:styleId="60">
    <w:name w:val="next1"/>
    <w:basedOn w:val="25"/>
    <w:qFormat/>
    <w:uiPriority w:val="0"/>
  </w:style>
  <w:style w:type="character" w:customStyle="1" w:styleId="61">
    <w:name w:val="c3"/>
    <w:basedOn w:val="25"/>
    <w:qFormat/>
    <w:uiPriority w:val="0"/>
  </w:style>
  <w:style w:type="character" w:customStyle="1" w:styleId="62">
    <w:name w:val="msg-box8"/>
    <w:basedOn w:val="25"/>
    <w:qFormat/>
    <w:uiPriority w:val="0"/>
  </w:style>
  <w:style w:type="character" w:customStyle="1" w:styleId="63">
    <w:name w:val="prev7"/>
    <w:basedOn w:val="25"/>
    <w:qFormat/>
    <w:uiPriority w:val="0"/>
  </w:style>
  <w:style w:type="character" w:customStyle="1" w:styleId="64">
    <w:name w:val="c2"/>
    <w:basedOn w:val="25"/>
    <w:qFormat/>
    <w:uiPriority w:val="0"/>
  </w:style>
  <w:style w:type="character" w:customStyle="1" w:styleId="65">
    <w:name w:val="next5"/>
    <w:basedOn w:val="25"/>
    <w:qFormat/>
    <w:uiPriority w:val="0"/>
  </w:style>
  <w:style w:type="character" w:customStyle="1" w:styleId="66">
    <w:name w:val="msg-box"/>
    <w:basedOn w:val="25"/>
    <w:qFormat/>
    <w:uiPriority w:val="0"/>
  </w:style>
  <w:style w:type="character" w:customStyle="1" w:styleId="67">
    <w:name w:val="tit"/>
    <w:basedOn w:val="25"/>
    <w:qFormat/>
    <w:uiPriority w:val="0"/>
    <w:rPr>
      <w:b/>
      <w:bCs/>
      <w:color w:val="333333"/>
      <w:sz w:val="24"/>
      <w:szCs w:val="24"/>
    </w:rPr>
  </w:style>
  <w:style w:type="character" w:customStyle="1" w:styleId="68">
    <w:name w:val="next6"/>
    <w:basedOn w:val="25"/>
    <w:qFormat/>
    <w:uiPriority w:val="0"/>
  </w:style>
  <w:style w:type="paragraph" w:customStyle="1" w:styleId="69">
    <w:name w:val="_Style 67"/>
    <w:basedOn w:val="1"/>
    <w:next w:val="1"/>
    <w:qFormat/>
    <w:uiPriority w:val="0"/>
    <w:pPr>
      <w:pBdr>
        <w:bottom w:val="single" w:color="auto" w:sz="6" w:space="1"/>
      </w:pBdr>
      <w:jc w:val="center"/>
    </w:pPr>
    <w:rPr>
      <w:rFonts w:ascii="Arial" w:eastAsia="宋体"/>
      <w:vanish/>
      <w:sz w:val="16"/>
    </w:rPr>
  </w:style>
  <w:style w:type="paragraph" w:customStyle="1" w:styleId="70">
    <w:name w:val="_Style 68"/>
    <w:basedOn w:val="1"/>
    <w:next w:val="1"/>
    <w:qFormat/>
    <w:uiPriority w:val="0"/>
    <w:pPr>
      <w:pBdr>
        <w:top w:val="single" w:color="auto" w:sz="6" w:space="1"/>
      </w:pBdr>
      <w:jc w:val="center"/>
    </w:pPr>
    <w:rPr>
      <w:rFonts w:ascii="Arial" w:eastAsia="宋体"/>
      <w:vanish/>
      <w:sz w:val="16"/>
    </w:rPr>
  </w:style>
  <w:style w:type="character" w:customStyle="1" w:styleId="71">
    <w:name w:val="tit1"/>
    <w:basedOn w:val="25"/>
    <w:qFormat/>
    <w:uiPriority w:val="0"/>
    <w:rPr>
      <w:b/>
      <w:bCs/>
      <w:color w:val="333333"/>
      <w:sz w:val="24"/>
      <w:szCs w:val="24"/>
    </w:rPr>
  </w:style>
  <w:style w:type="character" w:customStyle="1" w:styleId="72">
    <w:name w:val="next7"/>
    <w:basedOn w:val="25"/>
    <w:qFormat/>
    <w:uiPriority w:val="0"/>
  </w:style>
  <w:style w:type="character" w:customStyle="1" w:styleId="73">
    <w:name w:val="tit7"/>
    <w:basedOn w:val="25"/>
    <w:qFormat/>
    <w:uiPriority w:val="0"/>
    <w:rPr>
      <w:b/>
      <w:bCs/>
      <w:color w:val="333333"/>
      <w:sz w:val="24"/>
      <w:szCs w:val="24"/>
    </w:rPr>
  </w:style>
  <w:style w:type="paragraph" w:customStyle="1" w:styleId="74">
    <w:name w:val="正文（缩进）"/>
    <w:basedOn w:val="1"/>
    <w:qFormat/>
    <w:uiPriority w:val="99"/>
    <w:pPr>
      <w:spacing w:beforeLines="50" w:line="360" w:lineRule="auto"/>
      <w:ind w:firstLine="480" w:firstLineChars="200"/>
    </w:pPr>
    <w:rPr>
      <w:kern w:val="0"/>
      <w:sz w:val="24"/>
      <w:szCs w:val="24"/>
    </w:rPr>
  </w:style>
  <w:style w:type="character" w:customStyle="1" w:styleId="75">
    <w:name w:val="font31"/>
    <w:basedOn w:val="25"/>
    <w:qFormat/>
    <w:uiPriority w:val="0"/>
    <w:rPr>
      <w:rFonts w:ascii="Calibri" w:hAnsi="Calibri" w:cs="Calibri"/>
      <w:color w:val="000000"/>
      <w:sz w:val="21"/>
      <w:szCs w:val="21"/>
      <w:u w:val="none"/>
    </w:rPr>
  </w:style>
  <w:style w:type="character" w:customStyle="1" w:styleId="76">
    <w:name w:val="font21"/>
    <w:basedOn w:val="25"/>
    <w:qFormat/>
    <w:uiPriority w:val="0"/>
    <w:rPr>
      <w:rFonts w:hint="eastAsia" w:ascii="宋体" w:hAnsi="宋体" w:eastAsia="宋体" w:cs="宋体"/>
      <w:color w:val="000000"/>
      <w:sz w:val="21"/>
      <w:szCs w:val="21"/>
      <w:u w:val="none"/>
    </w:rPr>
  </w:style>
  <w:style w:type="character" w:customStyle="1" w:styleId="77">
    <w:name w:val="font41"/>
    <w:basedOn w:val="25"/>
    <w:qFormat/>
    <w:uiPriority w:val="0"/>
    <w:rPr>
      <w:rFonts w:hint="default" w:ascii="Calibri" w:hAnsi="Calibri" w:cs="Calibri"/>
      <w:color w:val="000000"/>
      <w:sz w:val="21"/>
      <w:szCs w:val="21"/>
      <w:u w:val="none"/>
    </w:rPr>
  </w:style>
  <w:style w:type="table" w:customStyle="1" w:styleId="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26759</Words>
  <Characters>28254</Characters>
  <Lines>0</Lines>
  <Paragraphs>0</Paragraphs>
  <TotalTime>42</TotalTime>
  <ScaleCrop>false</ScaleCrop>
  <LinksUpToDate>false</LinksUpToDate>
  <CharactersWithSpaces>30613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2020-09-07T11:27:00Z</dcterms:created>
  <dc:creator>这不科学</dc:creator>
  <cp:lastModifiedBy>好男人就是……</cp:lastModifiedBy>
  <cp:lastPrinted>2023-02-10T07:13:00Z</cp:lastPrinted>
  <dcterms:modified xsi:type="dcterms:W3CDTF">2024-07-08T09:12:24Z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8223AEC3B00343A1857FD82B9EB1ED4D_13</vt:lpwstr>
  </property>
</Properties>
</file>